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F5" w:rsidRDefault="00E34DF5" w:rsidP="00437BFC">
      <w:pPr>
        <w:jc w:val="center"/>
        <w:rPr>
          <w:sz w:val="28"/>
          <w:szCs w:val="28"/>
        </w:rPr>
      </w:pPr>
      <w:r>
        <w:rPr>
          <w:sz w:val="28"/>
          <w:szCs w:val="28"/>
        </w:rPr>
        <w:t>Budget Outline</w:t>
      </w:r>
    </w:p>
    <w:p w:rsidR="00E34DF5" w:rsidRDefault="003C4F5F" w:rsidP="00856A79">
      <w:pPr>
        <w:pStyle w:val="ListParagraph"/>
        <w:numPr>
          <w:ilvl w:val="0"/>
          <w:numId w:val="2"/>
        </w:numPr>
        <w:autoSpaceDE w:val="0"/>
        <w:autoSpaceDN w:val="0"/>
        <w:adjustRightInd w:val="0"/>
        <w:jc w:val="center"/>
        <w:rPr>
          <w:sz w:val="22"/>
          <w:szCs w:val="22"/>
        </w:rPr>
      </w:pPr>
      <w:r w:rsidRPr="00856A79">
        <w:rPr>
          <w:sz w:val="22"/>
          <w:szCs w:val="22"/>
        </w:rPr>
        <w:t xml:space="preserve">Budget due </w:t>
      </w:r>
      <w:r w:rsidR="00F25FCE">
        <w:rPr>
          <w:sz w:val="22"/>
          <w:szCs w:val="22"/>
        </w:rPr>
        <w:t>to Deanna 3</w:t>
      </w:r>
      <w:r w:rsidR="00856A79">
        <w:rPr>
          <w:sz w:val="22"/>
          <w:szCs w:val="22"/>
        </w:rPr>
        <w:t xml:space="preserve"> weeks prior to IRB submission</w:t>
      </w:r>
      <w:r w:rsidR="00856A79">
        <w:rPr>
          <w:sz w:val="22"/>
          <w:szCs w:val="22"/>
        </w:rPr>
        <w:tab/>
      </w:r>
    </w:p>
    <w:p w:rsidR="00856A79" w:rsidRPr="00856A79" w:rsidRDefault="00856A79" w:rsidP="00856A79">
      <w:pPr>
        <w:pStyle w:val="ListParagraph"/>
        <w:autoSpaceDE w:val="0"/>
        <w:autoSpaceDN w:val="0"/>
        <w:adjustRightInd w:val="0"/>
        <w:jc w:val="center"/>
        <w:rPr>
          <w:sz w:val="22"/>
          <w:szCs w:val="22"/>
        </w:rPr>
      </w:pPr>
    </w:p>
    <w:p w:rsidR="00E34DF5" w:rsidRPr="007E0AB5" w:rsidRDefault="00E34DF5" w:rsidP="00437BFC">
      <w:pPr>
        <w:autoSpaceDE w:val="0"/>
        <w:autoSpaceDN w:val="0"/>
        <w:adjustRightInd w:val="0"/>
        <w:rPr>
          <w:rFonts w:ascii="Helv" w:hAnsi="Helv" w:cs="Helv"/>
          <w:b/>
          <w:color w:val="000000"/>
        </w:rPr>
      </w:pPr>
      <w:r w:rsidRPr="007E0AB5">
        <w:rPr>
          <w:rFonts w:ascii="Helv" w:hAnsi="Helv" w:cs="Helv"/>
          <w:b/>
          <w:color w:val="000000"/>
        </w:rPr>
        <w:t>Full Study Title:</w:t>
      </w:r>
    </w:p>
    <w:p w:rsidR="00F25FCE" w:rsidRPr="007E0AB5" w:rsidRDefault="00F25FCE" w:rsidP="00437BFC">
      <w:pPr>
        <w:autoSpaceDE w:val="0"/>
        <w:autoSpaceDN w:val="0"/>
        <w:adjustRightInd w:val="0"/>
        <w:rPr>
          <w:rFonts w:ascii="Helv" w:hAnsi="Helv" w:cs="Helv"/>
          <w:b/>
          <w:color w:val="000000"/>
        </w:rPr>
      </w:pPr>
      <w:r w:rsidRPr="007E0AB5">
        <w:rPr>
          <w:rFonts w:ascii="Helv" w:hAnsi="Helv" w:cs="Helv"/>
          <w:b/>
          <w:color w:val="000000"/>
        </w:rPr>
        <w:t>Short Title:</w:t>
      </w:r>
    </w:p>
    <w:p w:rsidR="00E34DF5" w:rsidRPr="0019730D" w:rsidRDefault="00E34DF5" w:rsidP="00437BFC">
      <w:pPr>
        <w:autoSpaceDE w:val="0"/>
        <w:autoSpaceDN w:val="0"/>
        <w:adjustRightInd w:val="0"/>
        <w:rPr>
          <w:rFonts w:ascii="Helv" w:hAnsi="Helv" w:cs="Helv"/>
          <w:color w:val="000000"/>
        </w:rPr>
      </w:pPr>
    </w:p>
    <w:p w:rsidR="00263926" w:rsidRDefault="00E34DF5" w:rsidP="00437BFC">
      <w:pPr>
        <w:autoSpaceDE w:val="0"/>
        <w:autoSpaceDN w:val="0"/>
        <w:adjustRightInd w:val="0"/>
        <w:rPr>
          <w:rFonts w:ascii="Helv" w:hAnsi="Helv" w:cs="Helv"/>
          <w:i/>
          <w:color w:val="000000"/>
          <w:sz w:val="22"/>
          <w:szCs w:val="22"/>
        </w:rPr>
      </w:pPr>
      <w:r w:rsidRPr="007E0AB5">
        <w:rPr>
          <w:rFonts w:ascii="Helv" w:hAnsi="Helv" w:cs="Helv"/>
          <w:b/>
          <w:color w:val="000000"/>
        </w:rPr>
        <w:t xml:space="preserve">Study Start and End Dates: </w:t>
      </w:r>
      <w:r w:rsidR="00263926">
        <w:rPr>
          <w:rFonts w:ascii="Helv" w:hAnsi="Helv" w:cs="Helv"/>
          <w:b/>
          <w:color w:val="000000"/>
        </w:rPr>
        <w:t xml:space="preserve"> </w:t>
      </w:r>
      <w:r w:rsidR="00263926">
        <w:rPr>
          <w:rFonts w:ascii="Helv" w:hAnsi="Helv" w:cs="Helv"/>
          <w:i/>
          <w:color w:val="000000"/>
          <w:sz w:val="22"/>
          <w:szCs w:val="22"/>
        </w:rPr>
        <w:t xml:space="preserve">Prepare budget for two years in </w:t>
      </w:r>
      <w:r w:rsidR="00263926" w:rsidRPr="003C4F5F">
        <w:rPr>
          <w:rFonts w:ascii="Helv" w:hAnsi="Helv" w:cs="Helv"/>
          <w:i/>
          <w:color w:val="000000"/>
          <w:sz w:val="22"/>
          <w:szCs w:val="22"/>
        </w:rPr>
        <w:t>12 month increments.</w:t>
      </w:r>
    </w:p>
    <w:p w:rsidR="00E34DF5" w:rsidRPr="003C4F5F" w:rsidRDefault="007E0AB5" w:rsidP="00437BFC">
      <w:pPr>
        <w:autoSpaceDE w:val="0"/>
        <w:autoSpaceDN w:val="0"/>
        <w:adjustRightInd w:val="0"/>
        <w:rPr>
          <w:rFonts w:ascii="Helv" w:hAnsi="Helv" w:cs="Helv"/>
          <w:i/>
          <w:color w:val="000000"/>
          <w:sz w:val="22"/>
          <w:szCs w:val="22"/>
        </w:rPr>
      </w:pPr>
      <w:r>
        <w:rPr>
          <w:rFonts w:ascii="Helv" w:hAnsi="Helv" w:cs="Helv"/>
          <w:i/>
          <w:color w:val="000000"/>
          <w:sz w:val="22"/>
          <w:szCs w:val="22"/>
        </w:rPr>
        <w:t>(</w:t>
      </w:r>
      <w:r w:rsidR="00271C57" w:rsidRPr="003C4F5F">
        <w:rPr>
          <w:rFonts w:ascii="Helv" w:hAnsi="Helv" w:cs="Helv"/>
          <w:i/>
          <w:color w:val="000000"/>
          <w:sz w:val="22"/>
          <w:szCs w:val="22"/>
        </w:rPr>
        <w:t>i.e.</w:t>
      </w:r>
      <w:r w:rsidR="003C4F5F" w:rsidRPr="003C4F5F">
        <w:rPr>
          <w:rFonts w:ascii="Helv" w:hAnsi="Helv" w:cs="Helv"/>
          <w:i/>
          <w:color w:val="000000"/>
          <w:sz w:val="22"/>
          <w:szCs w:val="22"/>
        </w:rPr>
        <w:t xml:space="preserve"> Oct 1, 2013 to Sept. 30, 2014</w:t>
      </w:r>
      <w:r>
        <w:rPr>
          <w:rFonts w:ascii="Helv" w:hAnsi="Helv" w:cs="Helv"/>
          <w:i/>
          <w:color w:val="000000"/>
          <w:sz w:val="22"/>
          <w:szCs w:val="22"/>
        </w:rPr>
        <w:t xml:space="preserve"> and Oct 1, 2014 to Sept. 30, 2015</w:t>
      </w:r>
      <w:r w:rsidR="003C4F5F" w:rsidRPr="003C4F5F">
        <w:rPr>
          <w:rFonts w:ascii="Helv" w:hAnsi="Helv" w:cs="Helv"/>
          <w:i/>
          <w:color w:val="000000"/>
          <w:sz w:val="22"/>
          <w:szCs w:val="22"/>
        </w:rPr>
        <w:t xml:space="preserve">) </w:t>
      </w:r>
    </w:p>
    <w:p w:rsidR="00E34DF5" w:rsidRPr="0019730D" w:rsidRDefault="00E34DF5" w:rsidP="00437BFC">
      <w:pPr>
        <w:autoSpaceDE w:val="0"/>
        <w:autoSpaceDN w:val="0"/>
        <w:adjustRightInd w:val="0"/>
        <w:rPr>
          <w:rFonts w:ascii="Helv" w:hAnsi="Helv" w:cs="Helv"/>
          <w:color w:val="000000"/>
        </w:rPr>
      </w:pPr>
    </w:p>
    <w:p w:rsidR="00E34DF5" w:rsidRPr="003C4F5F" w:rsidRDefault="00E34DF5" w:rsidP="00437BFC">
      <w:pPr>
        <w:autoSpaceDE w:val="0"/>
        <w:autoSpaceDN w:val="0"/>
        <w:adjustRightInd w:val="0"/>
        <w:rPr>
          <w:rFonts w:ascii="Helv" w:hAnsi="Helv" w:cs="Helv"/>
          <w:i/>
          <w:color w:val="000000"/>
          <w:sz w:val="22"/>
          <w:szCs w:val="22"/>
        </w:rPr>
      </w:pPr>
      <w:r w:rsidRPr="007E0AB5">
        <w:rPr>
          <w:rFonts w:ascii="Helv" w:hAnsi="Helv" w:cs="Helv"/>
          <w:b/>
          <w:color w:val="000000"/>
        </w:rPr>
        <w:t>Funding Source/ Sponsor:</w:t>
      </w:r>
      <w:r w:rsidRPr="0019730D">
        <w:rPr>
          <w:rFonts w:ascii="Helv" w:hAnsi="Helv" w:cs="Helv"/>
          <w:color w:val="000000"/>
        </w:rPr>
        <w:t xml:space="preserve"> </w:t>
      </w:r>
      <w:r w:rsidR="003C4F5F">
        <w:rPr>
          <w:rFonts w:ascii="Helv" w:hAnsi="Helv" w:cs="Helv"/>
          <w:color w:val="000000"/>
        </w:rPr>
        <w:tab/>
      </w:r>
      <w:r w:rsidRPr="003C4F5F">
        <w:rPr>
          <w:rFonts w:ascii="Helv" w:hAnsi="Helv" w:cs="Helv"/>
          <w:i/>
          <w:color w:val="000000"/>
          <w:sz w:val="22"/>
          <w:szCs w:val="22"/>
        </w:rPr>
        <w:t xml:space="preserve">(Usually Pharmacy Department, </w:t>
      </w:r>
      <w:r w:rsidR="00263926">
        <w:rPr>
          <w:rFonts w:ascii="Helv" w:hAnsi="Helv" w:cs="Helv"/>
          <w:i/>
          <w:color w:val="000000"/>
          <w:sz w:val="22"/>
          <w:szCs w:val="22"/>
        </w:rPr>
        <w:t>unless applying for a grant.</w:t>
      </w:r>
      <w:r w:rsidRPr="003C4F5F">
        <w:rPr>
          <w:rFonts w:ascii="Helv" w:hAnsi="Helv" w:cs="Helv"/>
          <w:i/>
          <w:color w:val="000000"/>
          <w:sz w:val="22"/>
          <w:szCs w:val="22"/>
        </w:rPr>
        <w:t>)</w:t>
      </w:r>
    </w:p>
    <w:p w:rsidR="00E34DF5" w:rsidRPr="0019730D" w:rsidRDefault="00E34DF5" w:rsidP="00437BFC">
      <w:pPr>
        <w:autoSpaceDE w:val="0"/>
        <w:autoSpaceDN w:val="0"/>
        <w:adjustRightInd w:val="0"/>
        <w:rPr>
          <w:rFonts w:ascii="Helv" w:hAnsi="Helv" w:cs="Helv"/>
          <w:color w:val="000000"/>
        </w:rPr>
      </w:pPr>
    </w:p>
    <w:p w:rsidR="00E34DF5" w:rsidRPr="007E0AB5" w:rsidRDefault="00E34DF5" w:rsidP="00437BFC">
      <w:pPr>
        <w:autoSpaceDE w:val="0"/>
        <w:autoSpaceDN w:val="0"/>
        <w:adjustRightInd w:val="0"/>
        <w:rPr>
          <w:rFonts w:ascii="Helv" w:hAnsi="Helv" w:cs="Helv"/>
          <w:b/>
          <w:color w:val="000000"/>
        </w:rPr>
      </w:pPr>
      <w:r w:rsidRPr="007E0AB5">
        <w:rPr>
          <w:rFonts w:ascii="Helv" w:hAnsi="Helv" w:cs="Helv"/>
          <w:b/>
          <w:color w:val="000000"/>
        </w:rPr>
        <w:t>All Personnel, Titles &amp; Effort as in table below:</w:t>
      </w:r>
    </w:p>
    <w:p w:rsidR="00E34DF5" w:rsidRPr="00292D6A" w:rsidRDefault="00E34DF5" w:rsidP="00811AEC">
      <w:pPr>
        <w:tabs>
          <w:tab w:val="left" w:pos="5040"/>
          <w:tab w:val="left" w:pos="6750"/>
          <w:tab w:val="left" w:pos="9000"/>
        </w:tabs>
        <w:autoSpaceDE w:val="0"/>
        <w:autoSpaceDN w:val="0"/>
        <w:adjustRightInd w:val="0"/>
        <w:rPr>
          <w:rFonts w:ascii="Helv" w:hAnsi="Helv" w:cs="Helv"/>
          <w:i/>
          <w:color w:val="000000"/>
        </w:rPr>
      </w:pPr>
      <w:r w:rsidRPr="00292D6A">
        <w:rPr>
          <w:rFonts w:ascii="Helv" w:hAnsi="Helv" w:cs="Helv"/>
          <w:i/>
          <w:color w:val="000000"/>
        </w:rPr>
        <w:t>Example:</w:t>
      </w:r>
      <w:r w:rsidR="00811AEC">
        <w:rPr>
          <w:rFonts w:ascii="Helv" w:hAnsi="Helv" w:cs="Helv"/>
          <w:i/>
          <w:color w:val="000000"/>
        </w:rPr>
        <w:tab/>
      </w:r>
      <w:r w:rsidR="002655FB">
        <w:rPr>
          <w:rFonts w:ascii="Helv" w:hAnsi="Helv" w:cs="Helv"/>
          <w:i/>
          <w:color w:val="000000"/>
        </w:rPr>
        <w:t>Year 1</w:t>
      </w:r>
      <w:r w:rsidR="00811AEC">
        <w:rPr>
          <w:rFonts w:ascii="Helv" w:hAnsi="Helv" w:cs="Helv"/>
          <w:i/>
          <w:color w:val="000000"/>
        </w:rPr>
        <w:tab/>
      </w:r>
      <w:r>
        <w:rPr>
          <w:rFonts w:ascii="Helv" w:hAnsi="Helv" w:cs="Helv"/>
          <w:i/>
          <w:color w:val="000000"/>
        </w:rPr>
        <w:t xml:space="preserve">Year 2 </w:t>
      </w:r>
      <w:r w:rsidRPr="00292D6A">
        <w:rPr>
          <w:rFonts w:ascii="Helv" w:hAnsi="Helv" w:cs="Helv"/>
          <w:i/>
          <w:color w:val="000000"/>
        </w:rPr>
        <w:t xml:space="preserve"> </w:t>
      </w:r>
      <w:r w:rsidR="00811AEC">
        <w:rPr>
          <w:rFonts w:ascii="Helv" w:hAnsi="Helv" w:cs="Helv"/>
          <w:i/>
          <w:color w:val="000000"/>
        </w:rPr>
        <w:tab/>
        <w:t>“Note2” below</w:t>
      </w:r>
    </w:p>
    <w:tbl>
      <w:tblPr>
        <w:tblW w:w="10818" w:type="dxa"/>
        <w:tblLayout w:type="fixed"/>
        <w:tblLook w:val="00A0" w:firstRow="1" w:lastRow="0" w:firstColumn="1" w:lastColumn="0" w:noHBand="0" w:noVBand="0"/>
      </w:tblPr>
      <w:tblGrid>
        <w:gridCol w:w="2268"/>
        <w:gridCol w:w="1710"/>
        <w:gridCol w:w="1260"/>
        <w:gridCol w:w="1200"/>
        <w:gridCol w:w="1440"/>
        <w:gridCol w:w="1050"/>
        <w:gridCol w:w="990"/>
        <w:gridCol w:w="900"/>
      </w:tblGrid>
      <w:tr w:rsidR="007E0AB5" w:rsidRPr="0019730D" w:rsidTr="00811AEC">
        <w:tc>
          <w:tcPr>
            <w:tcW w:w="2268" w:type="dxa"/>
            <w:tcBorders>
              <w:top w:val="single" w:sz="6" w:space="0" w:color="000000"/>
              <w:left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sidRPr="004D1C63">
              <w:rPr>
                <w:rFonts w:ascii="Times New Roman" w:hAnsi="Times New Roman" w:cs="Times New Roman"/>
                <w:b/>
                <w:bCs/>
              </w:rPr>
              <w:t xml:space="preserve">Personnel </w:t>
            </w:r>
          </w:p>
        </w:tc>
        <w:tc>
          <w:tcPr>
            <w:tcW w:w="1710" w:type="dxa"/>
            <w:tcBorders>
              <w:top w:val="single" w:sz="6" w:space="0" w:color="000000"/>
              <w:left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sidRPr="004D1C63">
              <w:rPr>
                <w:rFonts w:ascii="Times New Roman" w:hAnsi="Times New Roman" w:cs="Times New Roman"/>
                <w:b/>
                <w:bCs/>
              </w:rPr>
              <w:t>Title</w:t>
            </w:r>
          </w:p>
        </w:tc>
        <w:tc>
          <w:tcPr>
            <w:tcW w:w="1260" w:type="dxa"/>
            <w:tcBorders>
              <w:top w:val="single" w:sz="6" w:space="0" w:color="000000"/>
              <w:left w:val="single" w:sz="6" w:space="0" w:color="000000"/>
              <w:right w:val="single" w:sz="6" w:space="0" w:color="000000"/>
            </w:tcBorders>
          </w:tcPr>
          <w:p w:rsidR="007E0AB5" w:rsidRDefault="007E0AB5" w:rsidP="005A359F">
            <w:pPr>
              <w:jc w:val="center"/>
              <w:rPr>
                <w:rFonts w:ascii="Times New Roman" w:hAnsi="Times New Roman" w:cs="Times New Roman"/>
                <w:b/>
                <w:bCs/>
              </w:rPr>
            </w:pPr>
            <w:r>
              <w:rPr>
                <w:rFonts w:ascii="Times New Roman" w:hAnsi="Times New Roman" w:cs="Times New Roman"/>
                <w:b/>
                <w:bCs/>
              </w:rPr>
              <w:t>Months</w:t>
            </w:r>
          </w:p>
          <w:p w:rsidR="007E0AB5" w:rsidRPr="004D1C63" w:rsidRDefault="007E0AB5" w:rsidP="005A359F">
            <w:pPr>
              <w:jc w:val="center"/>
              <w:rPr>
                <w:rFonts w:ascii="Times New Roman" w:hAnsi="Times New Roman" w:cs="Times New Roman"/>
                <w:b/>
                <w:bCs/>
              </w:rPr>
            </w:pPr>
            <w:r>
              <w:rPr>
                <w:rFonts w:ascii="Times New Roman" w:hAnsi="Times New Roman" w:cs="Times New Roman"/>
                <w:b/>
                <w:bCs/>
              </w:rPr>
              <w:t>(Year 1)</w:t>
            </w:r>
          </w:p>
        </w:tc>
        <w:tc>
          <w:tcPr>
            <w:tcW w:w="1200" w:type="dxa"/>
            <w:tcBorders>
              <w:top w:val="single" w:sz="6" w:space="0" w:color="000000"/>
              <w:left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sidRPr="004D1C63">
              <w:rPr>
                <w:rFonts w:ascii="Times New Roman" w:hAnsi="Times New Roman" w:cs="Times New Roman"/>
                <w:b/>
                <w:bCs/>
              </w:rPr>
              <w:t>Effort</w:t>
            </w:r>
          </w:p>
        </w:tc>
        <w:tc>
          <w:tcPr>
            <w:tcW w:w="1440" w:type="dxa"/>
            <w:tcBorders>
              <w:top w:val="single" w:sz="6" w:space="0" w:color="000000"/>
              <w:left w:val="single" w:sz="6" w:space="0" w:color="000000"/>
              <w:right w:val="single" w:sz="6" w:space="0" w:color="000000"/>
            </w:tcBorders>
          </w:tcPr>
          <w:p w:rsidR="007E0AB5" w:rsidRDefault="007E0AB5" w:rsidP="00292D6A">
            <w:pPr>
              <w:ind w:right="12" w:firstLine="12"/>
              <w:jc w:val="center"/>
              <w:rPr>
                <w:rFonts w:ascii="Times New Roman" w:hAnsi="Times New Roman" w:cs="Times New Roman"/>
                <w:b/>
                <w:bCs/>
              </w:rPr>
            </w:pPr>
            <w:r>
              <w:rPr>
                <w:rFonts w:ascii="Times New Roman" w:hAnsi="Times New Roman" w:cs="Times New Roman"/>
                <w:b/>
                <w:bCs/>
              </w:rPr>
              <w:t>Months</w:t>
            </w:r>
          </w:p>
          <w:p w:rsidR="007E0AB5" w:rsidRPr="004D1C63" w:rsidRDefault="007E0AB5" w:rsidP="00292D6A">
            <w:pPr>
              <w:ind w:right="12" w:firstLine="12"/>
              <w:jc w:val="center"/>
              <w:rPr>
                <w:rFonts w:ascii="Times New Roman" w:hAnsi="Times New Roman" w:cs="Times New Roman"/>
                <w:b/>
                <w:bCs/>
              </w:rPr>
            </w:pPr>
            <w:r>
              <w:rPr>
                <w:rFonts w:ascii="Times New Roman" w:hAnsi="Times New Roman" w:cs="Times New Roman"/>
                <w:b/>
                <w:bCs/>
              </w:rPr>
              <w:t>(Year 2)</w:t>
            </w:r>
          </w:p>
        </w:tc>
        <w:tc>
          <w:tcPr>
            <w:tcW w:w="1050" w:type="dxa"/>
            <w:tcBorders>
              <w:top w:val="single" w:sz="6" w:space="0" w:color="000000"/>
              <w:left w:val="single" w:sz="6" w:space="0" w:color="000000"/>
              <w:right w:val="single" w:sz="6" w:space="0" w:color="000000"/>
            </w:tcBorders>
          </w:tcPr>
          <w:p w:rsidR="007E0AB5" w:rsidRPr="004D1C63" w:rsidRDefault="007E0AB5" w:rsidP="00292D6A">
            <w:pPr>
              <w:jc w:val="center"/>
              <w:rPr>
                <w:rFonts w:ascii="Times New Roman" w:hAnsi="Times New Roman" w:cs="Times New Roman"/>
                <w:b/>
                <w:bCs/>
              </w:rPr>
            </w:pPr>
            <w:r>
              <w:rPr>
                <w:rFonts w:ascii="Times New Roman" w:hAnsi="Times New Roman" w:cs="Times New Roman"/>
                <w:b/>
                <w:bCs/>
              </w:rPr>
              <w:t>Effort</w:t>
            </w:r>
          </w:p>
        </w:tc>
        <w:tc>
          <w:tcPr>
            <w:tcW w:w="990" w:type="dxa"/>
            <w:tcBorders>
              <w:top w:val="single" w:sz="6" w:space="0" w:color="000000"/>
              <w:left w:val="single" w:sz="6" w:space="0" w:color="000000"/>
              <w:right w:val="single" w:sz="6" w:space="0" w:color="000000"/>
            </w:tcBorders>
          </w:tcPr>
          <w:p w:rsidR="007E0AB5" w:rsidRPr="007E0AB5" w:rsidRDefault="007E0AB5" w:rsidP="007E0AB5">
            <w:pPr>
              <w:rPr>
                <w:rFonts w:ascii="Times New Roman" w:hAnsi="Times New Roman" w:cs="Times New Roman"/>
                <w:b/>
                <w:bCs/>
                <w:sz w:val="20"/>
                <w:szCs w:val="20"/>
              </w:rPr>
            </w:pPr>
            <w:r w:rsidRPr="007E0AB5">
              <w:rPr>
                <w:rFonts w:ascii="Times New Roman" w:hAnsi="Times New Roman" w:cs="Times New Roman"/>
                <w:b/>
                <w:bCs/>
                <w:sz w:val="20"/>
                <w:szCs w:val="20"/>
              </w:rPr>
              <w:sym w:font="Wingdings" w:char="F0FC"/>
            </w:r>
            <w:r w:rsidRPr="007E0AB5">
              <w:rPr>
                <w:rFonts w:ascii="Times New Roman" w:hAnsi="Times New Roman" w:cs="Times New Roman"/>
                <w:b/>
                <w:bCs/>
                <w:sz w:val="20"/>
                <w:szCs w:val="20"/>
              </w:rPr>
              <w:t xml:space="preserve"> = Benefits</w:t>
            </w:r>
          </w:p>
          <w:p w:rsidR="007E0AB5" w:rsidRPr="007E0AB5" w:rsidRDefault="007E0AB5" w:rsidP="007E0AB5">
            <w:pPr>
              <w:rPr>
                <w:rFonts w:ascii="Times New Roman" w:hAnsi="Times New Roman" w:cs="Times New Roman"/>
                <w:b/>
                <w:bCs/>
                <w:sz w:val="22"/>
                <w:szCs w:val="22"/>
              </w:rPr>
            </w:pPr>
          </w:p>
        </w:tc>
        <w:tc>
          <w:tcPr>
            <w:tcW w:w="900" w:type="dxa"/>
            <w:tcBorders>
              <w:top w:val="single" w:sz="6" w:space="0" w:color="000000"/>
              <w:left w:val="single" w:sz="6" w:space="0" w:color="000000"/>
              <w:right w:val="single" w:sz="6" w:space="0" w:color="000000"/>
            </w:tcBorders>
          </w:tcPr>
          <w:p w:rsidR="007E0AB5" w:rsidRPr="007E0AB5" w:rsidRDefault="007E0AB5" w:rsidP="007E0AB5">
            <w:pPr>
              <w:rPr>
                <w:rFonts w:ascii="Times New Roman" w:hAnsi="Times New Roman" w:cs="Times New Roman"/>
                <w:b/>
                <w:bCs/>
                <w:sz w:val="20"/>
                <w:szCs w:val="20"/>
              </w:rPr>
            </w:pPr>
            <w:r>
              <w:rPr>
                <w:rFonts w:ascii="Times New Roman" w:hAnsi="Times New Roman" w:cs="Times New Roman"/>
                <w:b/>
                <w:bCs/>
                <w:sz w:val="20"/>
                <w:szCs w:val="20"/>
              </w:rPr>
              <w:sym w:font="Wingdings" w:char="F0FC"/>
            </w:r>
            <w:r>
              <w:rPr>
                <w:rFonts w:ascii="Times New Roman" w:hAnsi="Times New Roman" w:cs="Times New Roman"/>
                <w:b/>
                <w:bCs/>
                <w:sz w:val="20"/>
                <w:szCs w:val="20"/>
              </w:rPr>
              <w:t>= Bonus</w:t>
            </w:r>
          </w:p>
        </w:tc>
      </w:tr>
      <w:tr w:rsidR="007E0AB5" w:rsidRPr="0019730D" w:rsidTr="00811AEC">
        <w:tc>
          <w:tcPr>
            <w:tcW w:w="2268" w:type="dxa"/>
            <w:tcBorders>
              <w:top w:val="single" w:sz="6" w:space="0" w:color="000000"/>
              <w:left w:val="single" w:sz="6" w:space="0" w:color="000000"/>
              <w:right w:val="single" w:sz="6" w:space="0" w:color="000000"/>
            </w:tcBorders>
            <w:vAlign w:val="center"/>
          </w:tcPr>
          <w:p w:rsidR="007E0AB5" w:rsidRPr="004D1C63" w:rsidRDefault="007E0AB5" w:rsidP="005A359F">
            <w:pPr>
              <w:rPr>
                <w:rFonts w:ascii="Times New Roman" w:hAnsi="Times New Roman" w:cs="Times New Roman"/>
              </w:rPr>
            </w:pPr>
            <w:r w:rsidRPr="004D1C63">
              <w:rPr>
                <w:rFonts w:ascii="Times New Roman" w:hAnsi="Times New Roman" w:cs="Times New Roman"/>
              </w:rPr>
              <w:t xml:space="preserve">Mary Adams, PharmD </w:t>
            </w:r>
          </w:p>
        </w:tc>
        <w:tc>
          <w:tcPr>
            <w:tcW w:w="1710" w:type="dxa"/>
            <w:tcBorders>
              <w:top w:val="single" w:sz="6" w:space="0" w:color="000000"/>
              <w:left w:val="single" w:sz="6" w:space="0" w:color="000000"/>
              <w:right w:val="single" w:sz="6" w:space="0" w:color="000000"/>
            </w:tcBorders>
            <w:vAlign w:val="center"/>
          </w:tcPr>
          <w:p w:rsidR="007E0AB5" w:rsidRPr="007E0AB5" w:rsidRDefault="007E0AB5" w:rsidP="005A359F">
            <w:pPr>
              <w:jc w:val="center"/>
              <w:rPr>
                <w:rFonts w:ascii="Times New Roman" w:hAnsi="Times New Roman" w:cs="Times New Roman"/>
                <w:sz w:val="22"/>
                <w:szCs w:val="22"/>
              </w:rPr>
            </w:pPr>
            <w:r w:rsidRPr="007E0AB5">
              <w:rPr>
                <w:rFonts w:ascii="Times New Roman" w:hAnsi="Times New Roman" w:cs="Times New Roman"/>
                <w:sz w:val="22"/>
                <w:szCs w:val="22"/>
              </w:rPr>
              <w:t>Primary Investigator</w:t>
            </w:r>
          </w:p>
        </w:tc>
        <w:tc>
          <w:tcPr>
            <w:tcW w:w="1260" w:type="dxa"/>
            <w:tcBorders>
              <w:top w:val="single" w:sz="6" w:space="0" w:color="000000"/>
              <w:left w:val="single" w:sz="6" w:space="0" w:color="000000"/>
              <w:right w:val="single" w:sz="6" w:space="0" w:color="000000"/>
            </w:tcBorders>
          </w:tcPr>
          <w:p w:rsidR="007E0AB5" w:rsidRPr="004D1C63" w:rsidRDefault="007E0AB5" w:rsidP="005A359F">
            <w:pPr>
              <w:jc w:val="center"/>
              <w:rPr>
                <w:rFonts w:ascii="Times New Roman" w:hAnsi="Times New Roman" w:cs="Times New Roman"/>
              </w:rPr>
            </w:pPr>
            <w:r>
              <w:rPr>
                <w:rFonts w:ascii="Times New Roman" w:hAnsi="Times New Roman" w:cs="Times New Roman"/>
              </w:rPr>
              <w:t>12</w:t>
            </w:r>
          </w:p>
        </w:tc>
        <w:tc>
          <w:tcPr>
            <w:tcW w:w="1200" w:type="dxa"/>
            <w:tcBorders>
              <w:top w:val="single" w:sz="6" w:space="0" w:color="000000"/>
              <w:left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sidRPr="004D1C63">
              <w:rPr>
                <w:rFonts w:ascii="Times New Roman" w:hAnsi="Times New Roman" w:cs="Times New Roman"/>
              </w:rPr>
              <w:t xml:space="preserve">5% </w:t>
            </w:r>
          </w:p>
        </w:tc>
        <w:tc>
          <w:tcPr>
            <w:tcW w:w="1440" w:type="dxa"/>
            <w:tcBorders>
              <w:top w:val="single" w:sz="6" w:space="0" w:color="000000"/>
              <w:left w:val="single" w:sz="6" w:space="0" w:color="000000"/>
              <w:right w:val="single" w:sz="6" w:space="0" w:color="000000"/>
            </w:tcBorders>
          </w:tcPr>
          <w:p w:rsidR="007E0AB5" w:rsidRPr="004D1C63" w:rsidRDefault="007E0AB5" w:rsidP="00292D6A">
            <w:pPr>
              <w:ind w:left="12" w:hanging="12"/>
              <w:jc w:val="center"/>
              <w:rPr>
                <w:rFonts w:ascii="Times New Roman" w:hAnsi="Times New Roman" w:cs="Times New Roman"/>
              </w:rPr>
            </w:pPr>
            <w:r>
              <w:rPr>
                <w:rFonts w:ascii="Times New Roman" w:hAnsi="Times New Roman" w:cs="Times New Roman"/>
              </w:rPr>
              <w:t>12</w:t>
            </w:r>
          </w:p>
        </w:tc>
        <w:tc>
          <w:tcPr>
            <w:tcW w:w="1050" w:type="dxa"/>
            <w:tcBorders>
              <w:top w:val="single" w:sz="6" w:space="0" w:color="000000"/>
              <w:left w:val="single" w:sz="6" w:space="0" w:color="000000"/>
              <w:right w:val="single" w:sz="6" w:space="0" w:color="000000"/>
            </w:tcBorders>
          </w:tcPr>
          <w:p w:rsidR="007E0AB5" w:rsidRPr="004D1C63" w:rsidRDefault="007E0AB5" w:rsidP="00292D6A">
            <w:pPr>
              <w:jc w:val="center"/>
              <w:rPr>
                <w:rFonts w:ascii="Times New Roman" w:hAnsi="Times New Roman" w:cs="Times New Roman"/>
              </w:rPr>
            </w:pPr>
            <w:r>
              <w:rPr>
                <w:rFonts w:ascii="Times New Roman" w:hAnsi="Times New Roman" w:cs="Times New Roman"/>
              </w:rPr>
              <w:t>3%</w:t>
            </w:r>
          </w:p>
        </w:tc>
        <w:tc>
          <w:tcPr>
            <w:tcW w:w="990" w:type="dxa"/>
            <w:tcBorders>
              <w:top w:val="single" w:sz="6" w:space="0" w:color="000000"/>
              <w:left w:val="single" w:sz="6" w:space="0" w:color="000000"/>
              <w:right w:val="single" w:sz="6" w:space="0" w:color="000000"/>
            </w:tcBorders>
          </w:tcPr>
          <w:p w:rsidR="007E0AB5" w:rsidRDefault="007E0AB5" w:rsidP="00292D6A">
            <w:pPr>
              <w:jc w:val="center"/>
              <w:rPr>
                <w:rFonts w:ascii="Times New Roman" w:hAnsi="Times New Roman" w:cs="Times New Roman"/>
              </w:rPr>
            </w:pPr>
          </w:p>
        </w:tc>
        <w:tc>
          <w:tcPr>
            <w:tcW w:w="900" w:type="dxa"/>
            <w:tcBorders>
              <w:top w:val="single" w:sz="6" w:space="0" w:color="000000"/>
              <w:left w:val="single" w:sz="6" w:space="0" w:color="000000"/>
              <w:right w:val="single" w:sz="6" w:space="0" w:color="000000"/>
            </w:tcBorders>
          </w:tcPr>
          <w:p w:rsidR="007E0AB5" w:rsidRDefault="007E0AB5" w:rsidP="00292D6A">
            <w:pPr>
              <w:jc w:val="center"/>
              <w:rPr>
                <w:rFonts w:ascii="Times New Roman" w:hAnsi="Times New Roman" w:cs="Times New Roman"/>
              </w:rPr>
            </w:pPr>
          </w:p>
        </w:tc>
      </w:tr>
      <w:tr w:rsidR="007E0AB5" w:rsidRPr="0019730D" w:rsidTr="00811AEC">
        <w:tc>
          <w:tcPr>
            <w:tcW w:w="2268"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rPr>
                <w:rFonts w:ascii="Times New Roman" w:hAnsi="Times New Roman" w:cs="Times New Roman"/>
              </w:rPr>
            </w:pPr>
            <w:r w:rsidRPr="004D1C63">
              <w:rPr>
                <w:rFonts w:ascii="Times New Roman" w:hAnsi="Times New Roman" w:cs="Times New Roman"/>
              </w:rPr>
              <w:t>Jane Doe, PharmD</w:t>
            </w:r>
          </w:p>
        </w:tc>
        <w:tc>
          <w:tcPr>
            <w:tcW w:w="1710" w:type="dxa"/>
            <w:tcBorders>
              <w:top w:val="single" w:sz="6" w:space="0" w:color="000000"/>
              <w:left w:val="single" w:sz="6" w:space="0" w:color="000000"/>
              <w:bottom w:val="single" w:sz="6" w:space="0" w:color="000000"/>
              <w:right w:val="single" w:sz="6" w:space="0" w:color="000000"/>
            </w:tcBorders>
            <w:vAlign w:val="center"/>
          </w:tcPr>
          <w:p w:rsidR="007E0AB5" w:rsidRPr="007E0AB5" w:rsidRDefault="007E0AB5" w:rsidP="005A359F">
            <w:pPr>
              <w:jc w:val="center"/>
              <w:rPr>
                <w:rFonts w:ascii="Times New Roman" w:hAnsi="Times New Roman" w:cs="Times New Roman"/>
                <w:sz w:val="22"/>
                <w:szCs w:val="22"/>
              </w:rPr>
            </w:pPr>
            <w:r w:rsidRPr="007E0AB5">
              <w:rPr>
                <w:rFonts w:ascii="Times New Roman" w:hAnsi="Times New Roman" w:cs="Times New Roman"/>
                <w:sz w:val="22"/>
                <w:szCs w:val="22"/>
              </w:rPr>
              <w:t>Co-Investigator (Resident)</w:t>
            </w:r>
          </w:p>
        </w:tc>
        <w:tc>
          <w:tcPr>
            <w:tcW w:w="1260" w:type="dxa"/>
            <w:tcBorders>
              <w:top w:val="single" w:sz="6" w:space="0" w:color="000000"/>
              <w:left w:val="single" w:sz="6" w:space="0" w:color="000000"/>
              <w:bottom w:val="single" w:sz="6" w:space="0" w:color="000000"/>
              <w:right w:val="single" w:sz="6" w:space="0" w:color="000000"/>
            </w:tcBorders>
          </w:tcPr>
          <w:p w:rsidR="007E0AB5" w:rsidRPr="004D1C63" w:rsidRDefault="007E0AB5" w:rsidP="005A359F">
            <w:pPr>
              <w:jc w:val="center"/>
              <w:rPr>
                <w:rFonts w:ascii="Times New Roman" w:hAnsi="Times New Roman" w:cs="Times New Roman"/>
              </w:rPr>
            </w:pPr>
            <w:r>
              <w:rPr>
                <w:rFonts w:ascii="Times New Roman" w:hAnsi="Times New Roman" w:cs="Times New Roman"/>
              </w:rPr>
              <w:t>12</w:t>
            </w:r>
          </w:p>
        </w:tc>
        <w:tc>
          <w:tcPr>
            <w:tcW w:w="1200"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Pr>
                <w:rFonts w:ascii="Times New Roman" w:hAnsi="Times New Roman" w:cs="Times New Roman"/>
              </w:rPr>
              <w:t>5</w:t>
            </w:r>
            <w:r w:rsidRPr="004D1C63">
              <w:rPr>
                <w:rFonts w:ascii="Times New Roman" w:hAnsi="Times New Roman" w:cs="Times New Roman"/>
              </w:rPr>
              <w:t>%</w:t>
            </w:r>
          </w:p>
        </w:tc>
        <w:tc>
          <w:tcPr>
            <w:tcW w:w="1440" w:type="dxa"/>
            <w:tcBorders>
              <w:top w:val="single" w:sz="6" w:space="0" w:color="000000"/>
              <w:left w:val="single" w:sz="6" w:space="0" w:color="000000"/>
              <w:bottom w:val="single" w:sz="6" w:space="0" w:color="000000"/>
              <w:right w:val="single" w:sz="6" w:space="0" w:color="000000"/>
            </w:tcBorders>
          </w:tcPr>
          <w:p w:rsidR="007E0AB5" w:rsidRPr="004D1C63" w:rsidRDefault="007E0AB5" w:rsidP="00292D6A">
            <w:pPr>
              <w:ind w:hanging="108"/>
              <w:jc w:val="center"/>
              <w:rPr>
                <w:rFonts w:ascii="Times New Roman" w:hAnsi="Times New Roman" w:cs="Times New Roman"/>
              </w:rPr>
            </w:pPr>
            <w:r>
              <w:rPr>
                <w:rFonts w:ascii="Times New Roman" w:hAnsi="Times New Roman" w:cs="Times New Roman"/>
              </w:rPr>
              <w:t>0</w:t>
            </w:r>
          </w:p>
        </w:tc>
        <w:tc>
          <w:tcPr>
            <w:tcW w:w="1050" w:type="dxa"/>
            <w:tcBorders>
              <w:top w:val="single" w:sz="6" w:space="0" w:color="000000"/>
              <w:left w:val="single" w:sz="6" w:space="0" w:color="000000"/>
              <w:bottom w:val="single" w:sz="6" w:space="0" w:color="000000"/>
              <w:right w:val="single" w:sz="6" w:space="0" w:color="000000"/>
            </w:tcBorders>
          </w:tcPr>
          <w:p w:rsidR="007E0AB5" w:rsidRPr="004D1C63" w:rsidRDefault="007E0AB5" w:rsidP="00292D6A">
            <w:pPr>
              <w:ind w:hanging="108"/>
              <w:jc w:val="center"/>
              <w:rPr>
                <w:rFonts w:ascii="Times New Roman" w:hAnsi="Times New Roman" w:cs="Times New Roman"/>
              </w:rPr>
            </w:pPr>
            <w:r>
              <w:rPr>
                <w:rFonts w:ascii="Times New Roman" w:hAnsi="Times New Roman" w:cs="Times New Roman"/>
              </w:rPr>
              <w:t>0%</w:t>
            </w:r>
          </w:p>
        </w:tc>
        <w:tc>
          <w:tcPr>
            <w:tcW w:w="99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p>
        </w:tc>
      </w:tr>
      <w:tr w:rsidR="007E0AB5" w:rsidRPr="0019730D" w:rsidTr="00811AEC">
        <w:tc>
          <w:tcPr>
            <w:tcW w:w="2268"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rPr>
                <w:rFonts w:ascii="Times New Roman" w:hAnsi="Times New Roman" w:cs="Times New Roman"/>
              </w:rPr>
            </w:pPr>
            <w:r w:rsidRPr="001754DC">
              <w:rPr>
                <w:rFonts w:ascii="Verdana" w:hAnsi="Verdana"/>
                <w:sz w:val="22"/>
                <w:szCs w:val="22"/>
              </w:rPr>
              <w:t>Tim Data</w:t>
            </w:r>
            <w:r w:rsidR="00523B72">
              <w:rPr>
                <w:rFonts w:ascii="Verdana" w:hAnsi="Verdana"/>
                <w:sz w:val="22"/>
                <w:szCs w:val="22"/>
              </w:rPr>
              <w:t>, PhD</w:t>
            </w:r>
          </w:p>
        </w:tc>
        <w:tc>
          <w:tcPr>
            <w:tcW w:w="1710" w:type="dxa"/>
            <w:tcBorders>
              <w:top w:val="single" w:sz="6" w:space="0" w:color="000000"/>
              <w:left w:val="single" w:sz="6" w:space="0" w:color="000000"/>
              <w:bottom w:val="single" w:sz="6" w:space="0" w:color="000000"/>
              <w:right w:val="single" w:sz="6" w:space="0" w:color="000000"/>
            </w:tcBorders>
            <w:vAlign w:val="center"/>
          </w:tcPr>
          <w:p w:rsidR="007E0AB5" w:rsidRPr="007E0AB5" w:rsidRDefault="007E0AB5" w:rsidP="005A359F">
            <w:pPr>
              <w:jc w:val="center"/>
              <w:rPr>
                <w:rFonts w:ascii="Times New Roman" w:hAnsi="Times New Roman" w:cs="Times New Roman"/>
                <w:sz w:val="22"/>
                <w:szCs w:val="22"/>
              </w:rPr>
            </w:pPr>
            <w:r w:rsidRPr="007E0AB5">
              <w:rPr>
                <w:rFonts w:ascii="Times New Roman" w:hAnsi="Times New Roman" w:cs="Times New Roman"/>
                <w:sz w:val="22"/>
                <w:szCs w:val="22"/>
              </w:rPr>
              <w:t>Research scientist/Analyst</w:t>
            </w:r>
          </w:p>
        </w:tc>
        <w:tc>
          <w:tcPr>
            <w:tcW w:w="1260" w:type="dxa"/>
            <w:tcBorders>
              <w:top w:val="single" w:sz="6" w:space="0" w:color="000000"/>
              <w:left w:val="single" w:sz="6" w:space="0" w:color="000000"/>
              <w:bottom w:val="single" w:sz="6" w:space="0" w:color="000000"/>
              <w:right w:val="single" w:sz="6" w:space="0" w:color="000000"/>
            </w:tcBorders>
          </w:tcPr>
          <w:p w:rsidR="007E0AB5" w:rsidRPr="004D1C63" w:rsidRDefault="007E0AB5" w:rsidP="005A359F">
            <w:pPr>
              <w:jc w:val="center"/>
              <w:rPr>
                <w:rFonts w:ascii="Times New Roman" w:hAnsi="Times New Roman" w:cs="Times New Roman"/>
              </w:rPr>
            </w:pPr>
            <w:r>
              <w:rPr>
                <w:rFonts w:ascii="Times New Roman" w:hAnsi="Times New Roman" w:cs="Times New Roman"/>
              </w:rPr>
              <w:t>12</w:t>
            </w:r>
          </w:p>
        </w:tc>
        <w:tc>
          <w:tcPr>
            <w:tcW w:w="1200"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Pr>
                <w:rFonts w:ascii="Times New Roman" w:hAnsi="Times New Roman" w:cs="Times New Roman"/>
              </w:rPr>
              <w:t>2.5</w:t>
            </w:r>
            <w:r w:rsidRPr="004D1C63">
              <w:rPr>
                <w:rFonts w:ascii="Times New Roman" w:hAnsi="Times New Roman" w:cs="Times New Roman"/>
              </w:rPr>
              <w:t>%</w:t>
            </w:r>
          </w:p>
        </w:tc>
        <w:tc>
          <w:tcPr>
            <w:tcW w:w="144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r>
              <w:rPr>
                <w:rFonts w:ascii="Times New Roman" w:hAnsi="Times New Roman" w:cs="Times New Roman"/>
              </w:rPr>
              <w:t>12</w:t>
            </w:r>
          </w:p>
        </w:tc>
        <w:tc>
          <w:tcPr>
            <w:tcW w:w="1050" w:type="dxa"/>
            <w:tcBorders>
              <w:top w:val="single" w:sz="6" w:space="0" w:color="000000"/>
              <w:left w:val="single" w:sz="6" w:space="0" w:color="000000"/>
              <w:bottom w:val="single" w:sz="6" w:space="0" w:color="000000"/>
              <w:right w:val="single" w:sz="6" w:space="0" w:color="000000"/>
            </w:tcBorders>
          </w:tcPr>
          <w:p w:rsidR="007E0AB5" w:rsidRDefault="007E0AB5" w:rsidP="00292D6A">
            <w:pPr>
              <w:ind w:right="12" w:hanging="108"/>
              <w:jc w:val="center"/>
              <w:rPr>
                <w:rFonts w:ascii="Times New Roman" w:hAnsi="Times New Roman" w:cs="Times New Roman"/>
              </w:rPr>
            </w:pPr>
            <w:r>
              <w:rPr>
                <w:rFonts w:ascii="Times New Roman" w:hAnsi="Times New Roman" w:cs="Times New Roman"/>
              </w:rPr>
              <w:t>2.5%</w:t>
            </w:r>
          </w:p>
        </w:tc>
        <w:tc>
          <w:tcPr>
            <w:tcW w:w="990" w:type="dxa"/>
            <w:tcBorders>
              <w:top w:val="single" w:sz="6" w:space="0" w:color="000000"/>
              <w:left w:val="single" w:sz="6" w:space="0" w:color="000000"/>
              <w:bottom w:val="single" w:sz="6" w:space="0" w:color="000000"/>
              <w:right w:val="single" w:sz="6" w:space="0" w:color="000000"/>
            </w:tcBorders>
          </w:tcPr>
          <w:p w:rsidR="007E0AB5" w:rsidRDefault="007E0AB5" w:rsidP="00292D6A">
            <w:pPr>
              <w:ind w:right="12" w:hanging="108"/>
              <w:jc w:val="cente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E0AB5" w:rsidRDefault="007E0AB5" w:rsidP="00292D6A">
            <w:pPr>
              <w:ind w:right="12" w:hanging="108"/>
              <w:jc w:val="center"/>
              <w:rPr>
                <w:rFonts w:ascii="Times New Roman" w:hAnsi="Times New Roman" w:cs="Times New Roman"/>
              </w:rPr>
            </w:pPr>
          </w:p>
        </w:tc>
      </w:tr>
      <w:tr w:rsidR="007E0AB5" w:rsidRPr="0019730D" w:rsidTr="00811AEC">
        <w:tc>
          <w:tcPr>
            <w:tcW w:w="2268"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rPr>
                <w:rFonts w:ascii="Times New Roman" w:hAnsi="Times New Roman" w:cs="Times New Roman"/>
              </w:rPr>
            </w:pPr>
            <w:r w:rsidRPr="004D1C63">
              <w:rPr>
                <w:rFonts w:ascii="Times New Roman" w:hAnsi="Times New Roman" w:cs="Times New Roman"/>
              </w:rPr>
              <w:t>Deanna Kurz</w:t>
            </w:r>
          </w:p>
        </w:tc>
        <w:tc>
          <w:tcPr>
            <w:tcW w:w="1710" w:type="dxa"/>
            <w:tcBorders>
              <w:top w:val="single" w:sz="6" w:space="0" w:color="000000"/>
              <w:left w:val="single" w:sz="6" w:space="0" w:color="000000"/>
              <w:bottom w:val="single" w:sz="6" w:space="0" w:color="000000"/>
              <w:right w:val="single" w:sz="6" w:space="0" w:color="000000"/>
            </w:tcBorders>
            <w:vAlign w:val="center"/>
          </w:tcPr>
          <w:p w:rsidR="007E0AB5" w:rsidRPr="007E0AB5" w:rsidRDefault="007E0AB5" w:rsidP="005A359F">
            <w:pPr>
              <w:jc w:val="center"/>
              <w:rPr>
                <w:rFonts w:ascii="Times New Roman" w:hAnsi="Times New Roman" w:cs="Times New Roman"/>
                <w:sz w:val="22"/>
                <w:szCs w:val="22"/>
              </w:rPr>
            </w:pPr>
            <w:r w:rsidRPr="007E0AB5">
              <w:rPr>
                <w:rFonts w:ascii="Times New Roman" w:hAnsi="Times New Roman" w:cs="Times New Roman"/>
                <w:sz w:val="22"/>
                <w:szCs w:val="22"/>
              </w:rPr>
              <w:t xml:space="preserve">Project Manager </w:t>
            </w:r>
          </w:p>
        </w:tc>
        <w:tc>
          <w:tcPr>
            <w:tcW w:w="1260" w:type="dxa"/>
            <w:tcBorders>
              <w:top w:val="single" w:sz="6" w:space="0" w:color="000000"/>
              <w:left w:val="single" w:sz="6" w:space="0" w:color="000000"/>
              <w:bottom w:val="single" w:sz="6" w:space="0" w:color="000000"/>
              <w:right w:val="single" w:sz="6" w:space="0" w:color="000000"/>
            </w:tcBorders>
          </w:tcPr>
          <w:p w:rsidR="007E0AB5" w:rsidRPr="004D1C63" w:rsidRDefault="007E0AB5" w:rsidP="005A359F">
            <w:pPr>
              <w:jc w:val="center"/>
              <w:rPr>
                <w:rFonts w:ascii="Times New Roman" w:hAnsi="Times New Roman" w:cs="Times New Roman"/>
              </w:rPr>
            </w:pPr>
            <w:r>
              <w:rPr>
                <w:rFonts w:ascii="Times New Roman" w:hAnsi="Times New Roman" w:cs="Times New Roman"/>
              </w:rPr>
              <w:t>12</w:t>
            </w:r>
          </w:p>
        </w:tc>
        <w:tc>
          <w:tcPr>
            <w:tcW w:w="1200"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sidRPr="004D1C63">
              <w:rPr>
                <w:rFonts w:ascii="Times New Roman" w:hAnsi="Times New Roman" w:cs="Times New Roman"/>
              </w:rPr>
              <w:t xml:space="preserve">1.5% </w:t>
            </w:r>
          </w:p>
        </w:tc>
        <w:tc>
          <w:tcPr>
            <w:tcW w:w="1440" w:type="dxa"/>
            <w:tcBorders>
              <w:top w:val="single" w:sz="6" w:space="0" w:color="000000"/>
              <w:left w:val="single" w:sz="6" w:space="0" w:color="000000"/>
              <w:bottom w:val="single" w:sz="6" w:space="0" w:color="000000"/>
              <w:right w:val="single" w:sz="6" w:space="0" w:color="000000"/>
            </w:tcBorders>
          </w:tcPr>
          <w:p w:rsidR="007E0AB5" w:rsidRPr="004D1C63" w:rsidRDefault="007E0AB5" w:rsidP="00292D6A">
            <w:pPr>
              <w:ind w:hanging="108"/>
              <w:jc w:val="center"/>
              <w:rPr>
                <w:rFonts w:ascii="Times New Roman" w:hAnsi="Times New Roman" w:cs="Times New Roman"/>
              </w:rPr>
            </w:pPr>
            <w:r>
              <w:rPr>
                <w:rFonts w:ascii="Times New Roman" w:hAnsi="Times New Roman" w:cs="Times New Roman"/>
              </w:rPr>
              <w:t>12</w:t>
            </w:r>
          </w:p>
        </w:tc>
        <w:tc>
          <w:tcPr>
            <w:tcW w:w="1050" w:type="dxa"/>
            <w:tcBorders>
              <w:top w:val="single" w:sz="6" w:space="0" w:color="000000"/>
              <w:left w:val="single" w:sz="6" w:space="0" w:color="000000"/>
              <w:bottom w:val="single" w:sz="6" w:space="0" w:color="000000"/>
              <w:right w:val="single" w:sz="6" w:space="0" w:color="000000"/>
            </w:tcBorders>
          </w:tcPr>
          <w:p w:rsidR="007E0AB5" w:rsidRPr="004D1C63" w:rsidRDefault="007E0AB5" w:rsidP="00292D6A">
            <w:pPr>
              <w:ind w:hanging="108"/>
              <w:jc w:val="center"/>
              <w:rPr>
                <w:rFonts w:ascii="Times New Roman" w:hAnsi="Times New Roman" w:cs="Times New Roman"/>
              </w:rPr>
            </w:pPr>
            <w:r>
              <w:rPr>
                <w:rFonts w:ascii="Times New Roman" w:hAnsi="Times New Roman" w:cs="Times New Roman"/>
              </w:rPr>
              <w:t>1.5%</w:t>
            </w:r>
          </w:p>
        </w:tc>
        <w:tc>
          <w:tcPr>
            <w:tcW w:w="99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p>
        </w:tc>
      </w:tr>
      <w:tr w:rsidR="007E0AB5" w:rsidRPr="0019730D" w:rsidTr="00811AEC">
        <w:tc>
          <w:tcPr>
            <w:tcW w:w="2268"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rPr>
                <w:rFonts w:ascii="Times New Roman" w:hAnsi="Times New Roman" w:cs="Times New Roman"/>
              </w:rPr>
            </w:pPr>
            <w:r>
              <w:rPr>
                <w:rFonts w:ascii="Times New Roman" w:hAnsi="Times New Roman" w:cs="Times New Roman"/>
              </w:rPr>
              <w:t xml:space="preserve">Smart </w:t>
            </w:r>
            <w:proofErr w:type="spellStart"/>
            <w:r>
              <w:rPr>
                <w:rFonts w:ascii="Times New Roman" w:hAnsi="Times New Roman" w:cs="Times New Roman"/>
              </w:rPr>
              <w:t>Laddie</w:t>
            </w:r>
            <w:proofErr w:type="spellEnd"/>
          </w:p>
        </w:tc>
        <w:tc>
          <w:tcPr>
            <w:tcW w:w="1710" w:type="dxa"/>
            <w:tcBorders>
              <w:top w:val="single" w:sz="6" w:space="0" w:color="000000"/>
              <w:left w:val="single" w:sz="6" w:space="0" w:color="000000"/>
              <w:bottom w:val="single" w:sz="6" w:space="0" w:color="000000"/>
              <w:right w:val="single" w:sz="6" w:space="0" w:color="000000"/>
            </w:tcBorders>
            <w:vAlign w:val="center"/>
          </w:tcPr>
          <w:p w:rsidR="007E0AB5" w:rsidRPr="007E0AB5" w:rsidRDefault="007E0AB5" w:rsidP="005A359F">
            <w:pPr>
              <w:jc w:val="center"/>
              <w:rPr>
                <w:rFonts w:ascii="Times New Roman" w:hAnsi="Times New Roman" w:cs="Times New Roman"/>
                <w:sz w:val="22"/>
                <w:szCs w:val="22"/>
              </w:rPr>
            </w:pPr>
            <w:r w:rsidRPr="007E0AB5">
              <w:rPr>
                <w:rFonts w:ascii="Times New Roman" w:hAnsi="Times New Roman" w:cs="Times New Roman"/>
                <w:sz w:val="22"/>
                <w:szCs w:val="22"/>
              </w:rPr>
              <w:t>Intern/Student</w:t>
            </w:r>
          </w:p>
        </w:tc>
        <w:tc>
          <w:tcPr>
            <w:tcW w:w="1260" w:type="dxa"/>
            <w:tcBorders>
              <w:top w:val="single" w:sz="6" w:space="0" w:color="000000"/>
              <w:left w:val="single" w:sz="6" w:space="0" w:color="000000"/>
              <w:bottom w:val="single" w:sz="6" w:space="0" w:color="000000"/>
              <w:right w:val="single" w:sz="6" w:space="0" w:color="000000"/>
            </w:tcBorders>
          </w:tcPr>
          <w:p w:rsidR="007E0AB5" w:rsidRDefault="007E0AB5" w:rsidP="005A359F">
            <w:pPr>
              <w:jc w:val="center"/>
              <w:rPr>
                <w:rFonts w:ascii="Times New Roman" w:hAnsi="Times New Roman" w:cs="Times New Roman"/>
              </w:rPr>
            </w:pPr>
            <w:r>
              <w:rPr>
                <w:rFonts w:ascii="Times New Roman" w:hAnsi="Times New Roman" w:cs="Times New Roman"/>
              </w:rPr>
              <w:t>12</w:t>
            </w:r>
          </w:p>
        </w:tc>
        <w:tc>
          <w:tcPr>
            <w:tcW w:w="1200" w:type="dxa"/>
            <w:tcBorders>
              <w:top w:val="single" w:sz="6" w:space="0" w:color="000000"/>
              <w:left w:val="single" w:sz="6" w:space="0" w:color="000000"/>
              <w:bottom w:val="single" w:sz="6" w:space="0" w:color="000000"/>
              <w:right w:val="single" w:sz="6" w:space="0" w:color="000000"/>
            </w:tcBorders>
            <w:vAlign w:val="center"/>
          </w:tcPr>
          <w:p w:rsidR="007E0AB5" w:rsidRPr="004D1C63" w:rsidRDefault="007E0AB5" w:rsidP="005A359F">
            <w:pPr>
              <w:jc w:val="center"/>
              <w:rPr>
                <w:rFonts w:ascii="Times New Roman" w:hAnsi="Times New Roman" w:cs="Times New Roman"/>
              </w:rPr>
            </w:pPr>
            <w:r>
              <w:rPr>
                <w:rFonts w:ascii="Times New Roman" w:hAnsi="Times New Roman" w:cs="Times New Roman"/>
              </w:rPr>
              <w:t>1.5%</w:t>
            </w:r>
          </w:p>
        </w:tc>
        <w:tc>
          <w:tcPr>
            <w:tcW w:w="144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r>
              <w:rPr>
                <w:rFonts w:ascii="Times New Roman" w:hAnsi="Times New Roman" w:cs="Times New Roman"/>
              </w:rPr>
              <w:t>0</w:t>
            </w:r>
          </w:p>
        </w:tc>
        <w:tc>
          <w:tcPr>
            <w:tcW w:w="105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r>
              <w:rPr>
                <w:rFonts w:ascii="Times New Roman" w:hAnsi="Times New Roman" w:cs="Times New Roman"/>
              </w:rPr>
              <w:t>0</w:t>
            </w:r>
          </w:p>
        </w:tc>
        <w:tc>
          <w:tcPr>
            <w:tcW w:w="99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E0AB5" w:rsidRDefault="007E0AB5" w:rsidP="00292D6A">
            <w:pPr>
              <w:ind w:hanging="108"/>
              <w:jc w:val="center"/>
              <w:rPr>
                <w:rFonts w:ascii="Times New Roman" w:hAnsi="Times New Roman" w:cs="Times New Roman"/>
              </w:rPr>
            </w:pPr>
          </w:p>
        </w:tc>
      </w:tr>
    </w:tbl>
    <w:p w:rsidR="00E34DF5" w:rsidRPr="007567A7" w:rsidRDefault="00E34DF5" w:rsidP="00437BFC">
      <w:pPr>
        <w:autoSpaceDE w:val="0"/>
        <w:autoSpaceDN w:val="0"/>
        <w:adjustRightInd w:val="0"/>
        <w:rPr>
          <w:color w:val="000000"/>
          <w:sz w:val="22"/>
          <w:szCs w:val="22"/>
        </w:rPr>
      </w:pPr>
      <w:r w:rsidRPr="007E0AB5">
        <w:rPr>
          <w:rFonts w:ascii="Verdana" w:hAnsi="Verdana" w:cs="Times New Roman"/>
          <w:b/>
          <w:bCs/>
          <w:i/>
          <w:iCs/>
          <w:sz w:val="22"/>
          <w:szCs w:val="22"/>
        </w:rPr>
        <w:t xml:space="preserve">Note: </w:t>
      </w:r>
      <w:r w:rsidRPr="007567A7">
        <w:rPr>
          <w:i/>
          <w:sz w:val="22"/>
          <w:szCs w:val="22"/>
        </w:rPr>
        <w:t>to calculate ‘% effort’ start by estimating how many hours you think you may spend on the entire study per year. Include meetings, calls, chart abstraction, etc. Then divide number of hours by 2080</w:t>
      </w:r>
      <w:r w:rsidR="00523B72">
        <w:rPr>
          <w:i/>
          <w:sz w:val="22"/>
          <w:szCs w:val="22"/>
        </w:rPr>
        <w:t xml:space="preserve"> to get % effort for the year.</w:t>
      </w:r>
    </w:p>
    <w:p w:rsidR="00E34DF5" w:rsidRPr="007567A7" w:rsidRDefault="007E0AB5" w:rsidP="00437BFC">
      <w:pPr>
        <w:rPr>
          <w:i/>
          <w:sz w:val="22"/>
          <w:szCs w:val="22"/>
        </w:rPr>
      </w:pPr>
      <w:r w:rsidRPr="007567A7">
        <w:rPr>
          <w:b/>
          <w:sz w:val="22"/>
          <w:szCs w:val="22"/>
        </w:rPr>
        <w:t>Note2</w:t>
      </w:r>
      <w:r w:rsidRPr="007567A7">
        <w:rPr>
          <w:b/>
          <w:i/>
          <w:sz w:val="22"/>
          <w:szCs w:val="22"/>
        </w:rPr>
        <w:t xml:space="preserve">: </w:t>
      </w:r>
      <w:r w:rsidR="00811AEC" w:rsidRPr="007567A7">
        <w:rPr>
          <w:i/>
          <w:sz w:val="22"/>
          <w:szCs w:val="22"/>
        </w:rPr>
        <w:t>ask PI or Deanna if you are not sure who gets Bonus and Benefits. (</w:t>
      </w:r>
      <w:r w:rsidR="00811AEC" w:rsidRPr="007567A7">
        <w:rPr>
          <w:i/>
          <w:sz w:val="22"/>
          <w:szCs w:val="22"/>
          <w:u w:val="single"/>
        </w:rPr>
        <w:t>Usually</w:t>
      </w:r>
      <w:r w:rsidR="007567A7" w:rsidRPr="007567A7">
        <w:rPr>
          <w:i/>
          <w:sz w:val="22"/>
          <w:szCs w:val="22"/>
          <w:u w:val="single"/>
        </w:rPr>
        <w:t xml:space="preserve">: </w:t>
      </w:r>
      <w:r w:rsidR="007567A7" w:rsidRPr="007567A7">
        <w:rPr>
          <w:i/>
          <w:sz w:val="22"/>
          <w:szCs w:val="22"/>
        </w:rPr>
        <w:t xml:space="preserve"> PI and </w:t>
      </w:r>
      <w:r w:rsidR="00811AEC" w:rsidRPr="007567A7">
        <w:rPr>
          <w:i/>
          <w:sz w:val="22"/>
          <w:szCs w:val="22"/>
        </w:rPr>
        <w:t xml:space="preserve">Residents get Benefits. Resident does not get bonus. Students and Interns do not receive </w:t>
      </w:r>
      <w:r w:rsidR="007A05E3">
        <w:rPr>
          <w:i/>
          <w:sz w:val="22"/>
          <w:szCs w:val="22"/>
        </w:rPr>
        <w:t>Benefits or Bonus</w:t>
      </w:r>
      <w:r w:rsidR="00811AEC" w:rsidRPr="007567A7">
        <w:rPr>
          <w:i/>
          <w:sz w:val="22"/>
          <w:szCs w:val="22"/>
        </w:rPr>
        <w:t>.)</w:t>
      </w:r>
    </w:p>
    <w:p w:rsidR="007567A7" w:rsidRPr="00811AEC" w:rsidRDefault="007567A7" w:rsidP="007567A7"/>
    <w:p w:rsidR="00E34DF5" w:rsidRPr="007567A7" w:rsidRDefault="00E34DF5" w:rsidP="00437BFC">
      <w:pPr>
        <w:autoSpaceDE w:val="0"/>
        <w:autoSpaceDN w:val="0"/>
        <w:adjustRightInd w:val="0"/>
        <w:rPr>
          <w:i/>
          <w:color w:val="000000"/>
        </w:rPr>
      </w:pPr>
      <w:r w:rsidRPr="00523B72">
        <w:rPr>
          <w:b/>
          <w:color w:val="000000"/>
        </w:rPr>
        <w:t>All Other Project Costs:</w:t>
      </w:r>
      <w:r w:rsidRPr="007567A7">
        <w:rPr>
          <w:color w:val="000000"/>
        </w:rPr>
        <w:t xml:space="preserve"> Equipment, supplies, travel, postage, etc.  </w:t>
      </w:r>
      <w:r w:rsidRPr="007567A7">
        <w:rPr>
          <w:i/>
          <w:color w:val="000000"/>
        </w:rPr>
        <w:t>Could include the following:</w:t>
      </w:r>
    </w:p>
    <w:p w:rsidR="00E34DF5" w:rsidRPr="007567A7" w:rsidRDefault="00E34DF5" w:rsidP="00437BFC">
      <w:pPr>
        <w:rPr>
          <w:b/>
        </w:rPr>
      </w:pPr>
      <w:r w:rsidRPr="007567A7">
        <w:rPr>
          <w:b/>
        </w:rPr>
        <w:t>CONSULTANT COSTS</w:t>
      </w:r>
      <w:r w:rsidR="00523B72">
        <w:rPr>
          <w:b/>
        </w:rPr>
        <w:t>:</w:t>
      </w:r>
      <w:r w:rsidRPr="007567A7">
        <w:rPr>
          <w:b/>
        </w:rPr>
        <w:tab/>
      </w:r>
      <w:r w:rsidRPr="007567A7">
        <w:rPr>
          <w:b/>
        </w:rPr>
        <w:tab/>
      </w:r>
      <w:r w:rsidRPr="007567A7">
        <w:rPr>
          <w:b/>
        </w:rPr>
        <w:tab/>
      </w:r>
      <w:r w:rsidRPr="007567A7">
        <w:rPr>
          <w:b/>
        </w:rPr>
        <w:tab/>
      </w:r>
      <w:r w:rsidRPr="007567A7">
        <w:rPr>
          <w:b/>
        </w:rPr>
        <w:tab/>
      </w:r>
      <w:r w:rsidRPr="007567A7">
        <w:rPr>
          <w:b/>
        </w:rPr>
        <w:tab/>
      </w:r>
    </w:p>
    <w:p w:rsidR="00E34DF5" w:rsidRPr="007567A7" w:rsidRDefault="00E34DF5" w:rsidP="00437BFC">
      <w:r w:rsidRPr="007567A7">
        <w:tab/>
      </w:r>
      <w:r w:rsidRPr="007567A7">
        <w:tab/>
      </w:r>
      <w:r w:rsidRPr="007567A7">
        <w:tab/>
      </w:r>
      <w:r w:rsidRPr="007567A7">
        <w:tab/>
      </w:r>
      <w:r w:rsidRPr="007567A7">
        <w:tab/>
      </w:r>
      <w:r w:rsidRPr="007567A7">
        <w:tab/>
      </w:r>
      <w:r w:rsidRPr="007567A7">
        <w:tab/>
      </w:r>
      <w:r w:rsidRPr="007567A7">
        <w:tab/>
      </w:r>
      <w:r w:rsidRPr="007567A7">
        <w:tab/>
      </w:r>
      <w:r w:rsidRPr="007567A7">
        <w:tab/>
      </w:r>
      <w:r w:rsidRPr="007567A7">
        <w:tab/>
      </w:r>
      <w:r w:rsidRPr="007567A7">
        <w:tab/>
      </w:r>
    </w:p>
    <w:p w:rsidR="002655FB" w:rsidRPr="007567A7" w:rsidRDefault="00E34DF5" w:rsidP="00437BFC">
      <w:pPr>
        <w:rPr>
          <w:b/>
        </w:rPr>
      </w:pPr>
      <w:r w:rsidRPr="007567A7">
        <w:rPr>
          <w:b/>
        </w:rPr>
        <w:t>EQUIPMENT</w:t>
      </w:r>
      <w:r w:rsidR="00523B72">
        <w:rPr>
          <w:b/>
        </w:rPr>
        <w:t>:</w:t>
      </w:r>
      <w:r w:rsidRPr="007567A7">
        <w:rPr>
          <w:b/>
        </w:rPr>
        <w:tab/>
      </w:r>
      <w:r w:rsidR="003C4F5F" w:rsidRPr="007567A7">
        <w:rPr>
          <w:b/>
        </w:rPr>
        <w:tab/>
        <w:t>(</w:t>
      </w:r>
      <w:r w:rsidRPr="007567A7">
        <w:t>Larger priced items like laptops, scales, electronic thermometers etc.</w:t>
      </w:r>
      <w:r w:rsidR="003C4F5F" w:rsidRPr="007567A7">
        <w:t>)</w:t>
      </w:r>
      <w:r w:rsidRPr="007567A7">
        <w:tab/>
      </w:r>
      <w:r w:rsidRPr="007567A7">
        <w:tab/>
      </w:r>
      <w:r w:rsidRPr="007567A7">
        <w:tab/>
      </w:r>
    </w:p>
    <w:p w:rsidR="00E34DF5" w:rsidRPr="007567A7" w:rsidRDefault="00E34DF5" w:rsidP="00437BFC">
      <w:r w:rsidRPr="007567A7">
        <w:rPr>
          <w:b/>
        </w:rPr>
        <w:t>SUPPLIES</w:t>
      </w:r>
      <w:r w:rsidR="00523B72">
        <w:rPr>
          <w:b/>
        </w:rPr>
        <w:t>:</w:t>
      </w:r>
      <w:r w:rsidRPr="007567A7">
        <w:rPr>
          <w:b/>
        </w:rPr>
        <w:tab/>
      </w:r>
      <w:r w:rsidRPr="007567A7">
        <w:tab/>
      </w:r>
      <w:r w:rsidR="003C4F5F" w:rsidRPr="007567A7">
        <w:t>(</w:t>
      </w:r>
      <w:r w:rsidRPr="007567A7">
        <w:t>Mailing, copies, envelopes, paper, binders, software programs, etc.</w:t>
      </w:r>
      <w:r w:rsidR="003C4F5F" w:rsidRPr="007567A7">
        <w:t>)</w:t>
      </w:r>
    </w:p>
    <w:p w:rsidR="002655FB" w:rsidRPr="007567A7" w:rsidRDefault="002655FB" w:rsidP="00437BFC">
      <w:pPr>
        <w:rPr>
          <w:b/>
        </w:rPr>
      </w:pPr>
    </w:p>
    <w:p w:rsidR="00E34DF5" w:rsidRPr="007567A7" w:rsidRDefault="003C4F5F" w:rsidP="00437BFC">
      <w:r w:rsidRPr="007567A7">
        <w:rPr>
          <w:b/>
        </w:rPr>
        <w:t>PATIENT CARE COSTS</w:t>
      </w:r>
      <w:r w:rsidR="00523B72">
        <w:rPr>
          <w:b/>
        </w:rPr>
        <w:t>:</w:t>
      </w:r>
      <w:r w:rsidRPr="007567A7">
        <w:rPr>
          <w:b/>
        </w:rPr>
        <w:tab/>
        <w:t>(</w:t>
      </w:r>
      <w:r w:rsidR="00E34DF5" w:rsidRPr="007567A7">
        <w:t>Patient stipends, patient supplies, BP cuffs</w:t>
      </w:r>
      <w:r w:rsidRPr="007567A7">
        <w:t xml:space="preserve"> etc.)</w:t>
      </w:r>
    </w:p>
    <w:p w:rsidR="002655FB" w:rsidRPr="007567A7" w:rsidRDefault="002655FB" w:rsidP="00437BFC">
      <w:pPr>
        <w:rPr>
          <w:b/>
        </w:rPr>
      </w:pPr>
    </w:p>
    <w:p w:rsidR="00E34DF5" w:rsidRPr="007567A7" w:rsidRDefault="00E34DF5" w:rsidP="003C4F5F">
      <w:r w:rsidRPr="007567A7">
        <w:rPr>
          <w:b/>
        </w:rPr>
        <w:t>TRAVEL</w:t>
      </w:r>
      <w:r w:rsidR="00523B72">
        <w:rPr>
          <w:b/>
        </w:rPr>
        <w:t>:</w:t>
      </w:r>
      <w:r w:rsidRPr="007567A7">
        <w:rPr>
          <w:b/>
        </w:rPr>
        <w:tab/>
      </w:r>
      <w:r w:rsidR="003C4F5F" w:rsidRPr="007567A7">
        <w:rPr>
          <w:b/>
        </w:rPr>
        <w:t>(</w:t>
      </w:r>
      <w:r w:rsidRPr="007567A7">
        <w:t>For presentations or classes, mileage</w:t>
      </w:r>
      <w:r w:rsidR="003C4F5F" w:rsidRPr="007567A7">
        <w:t>)</w:t>
      </w:r>
    </w:p>
    <w:p w:rsidR="00E34DF5" w:rsidRDefault="00E34DF5" w:rsidP="007567A7">
      <w:pPr>
        <w:ind w:left="90" w:hanging="90"/>
        <w:rPr>
          <w:i/>
          <w:sz w:val="22"/>
          <w:szCs w:val="22"/>
        </w:rPr>
      </w:pPr>
      <w:r w:rsidRPr="007567A7">
        <w:rPr>
          <w:i/>
          <w:sz w:val="22"/>
          <w:szCs w:val="22"/>
        </w:rPr>
        <w:t xml:space="preserve">(Do not add </w:t>
      </w:r>
      <w:r w:rsidRPr="007567A7">
        <w:rPr>
          <w:i/>
          <w:iCs/>
          <w:sz w:val="22"/>
          <w:szCs w:val="22"/>
        </w:rPr>
        <w:t>ASHP Midyear Meeting, KP Interregional Meeting, or Western States Conference to this budget</w:t>
      </w:r>
      <w:r w:rsidRPr="007567A7">
        <w:rPr>
          <w:i/>
          <w:sz w:val="22"/>
          <w:szCs w:val="22"/>
        </w:rPr>
        <w:t>)</w:t>
      </w:r>
      <w:r w:rsidRPr="007567A7">
        <w:rPr>
          <w:i/>
          <w:sz w:val="22"/>
          <w:szCs w:val="22"/>
        </w:rPr>
        <w:tab/>
      </w:r>
    </w:p>
    <w:p w:rsidR="00DF5265" w:rsidRDefault="00DF5265" w:rsidP="007567A7">
      <w:pPr>
        <w:ind w:left="90" w:hanging="90"/>
        <w:rPr>
          <w:i/>
          <w:sz w:val="22"/>
          <w:szCs w:val="22"/>
        </w:rPr>
      </w:pPr>
    </w:p>
    <w:p w:rsidR="00DF5265" w:rsidRDefault="00DF5265" w:rsidP="00DF5265">
      <w:pPr>
        <w:rPr>
          <w:b/>
        </w:rPr>
      </w:pPr>
      <w:r w:rsidRPr="00DF5265">
        <w:rPr>
          <w:b/>
          <w:u w:val="single"/>
        </w:rPr>
        <w:t>See following pages for guidance</w:t>
      </w:r>
      <w:r w:rsidR="002857BB">
        <w:rPr>
          <w:b/>
          <w:u w:val="single"/>
        </w:rPr>
        <w:t xml:space="preserve"> on how to complete</w:t>
      </w:r>
      <w:r>
        <w:rPr>
          <w:b/>
        </w:rPr>
        <w:t>:</w:t>
      </w:r>
    </w:p>
    <w:p w:rsidR="00DF5265" w:rsidRDefault="00DF5265" w:rsidP="00DF5265">
      <w:r w:rsidRPr="007567A7">
        <w:rPr>
          <w:b/>
        </w:rPr>
        <w:t>Purpose:</w:t>
      </w:r>
      <w:r>
        <w:t xml:space="preserve">     </w:t>
      </w:r>
      <w:r>
        <w:tab/>
      </w:r>
    </w:p>
    <w:p w:rsidR="00DF5265" w:rsidRDefault="00DF5265" w:rsidP="00DF5265"/>
    <w:p w:rsidR="00DF5265" w:rsidRDefault="00DF5265" w:rsidP="00DF5265">
      <w:r w:rsidRPr="007567A7">
        <w:rPr>
          <w:b/>
        </w:rPr>
        <w:t>Keywords:</w:t>
      </w:r>
      <w:r>
        <w:t xml:space="preserve"> </w:t>
      </w:r>
      <w:r>
        <w:tab/>
      </w:r>
    </w:p>
    <w:p w:rsidR="007567A7" w:rsidRDefault="007567A7" w:rsidP="007567A7">
      <w:pPr>
        <w:ind w:left="90" w:hanging="90"/>
        <w:rPr>
          <w:i/>
          <w:sz w:val="22"/>
          <w:szCs w:val="22"/>
        </w:rPr>
      </w:pPr>
    </w:p>
    <w:p w:rsidR="002857BB" w:rsidRPr="007567A7" w:rsidRDefault="002857BB" w:rsidP="007567A7">
      <w:pPr>
        <w:ind w:left="90" w:hanging="90"/>
        <w:rPr>
          <w:i/>
          <w:sz w:val="22"/>
          <w:szCs w:val="22"/>
        </w:rPr>
      </w:pPr>
    </w:p>
    <w:p w:rsidR="003C4F5F" w:rsidRPr="007567A7" w:rsidRDefault="00E34DF5" w:rsidP="001F401C">
      <w:pPr>
        <w:pStyle w:val="ListParagraph"/>
        <w:numPr>
          <w:ilvl w:val="0"/>
          <w:numId w:val="1"/>
        </w:numPr>
        <w:ind w:left="1080" w:hanging="720"/>
        <w:rPr>
          <w:b/>
          <w:i/>
        </w:rPr>
      </w:pPr>
      <w:r w:rsidRPr="007567A7">
        <w:rPr>
          <w:b/>
          <w:i/>
        </w:rPr>
        <w:t xml:space="preserve">Review FTE and budget with study team. </w:t>
      </w:r>
    </w:p>
    <w:p w:rsidR="003C4F5F" w:rsidRPr="007567A7" w:rsidRDefault="00E34DF5" w:rsidP="001F401C">
      <w:pPr>
        <w:pStyle w:val="ListParagraph"/>
        <w:numPr>
          <w:ilvl w:val="0"/>
          <w:numId w:val="1"/>
        </w:numPr>
        <w:ind w:left="1080" w:hanging="720"/>
        <w:rPr>
          <w:b/>
          <w:i/>
        </w:rPr>
      </w:pPr>
      <w:r w:rsidRPr="007567A7">
        <w:rPr>
          <w:b/>
          <w:i/>
        </w:rPr>
        <w:t xml:space="preserve">Send draft to Deanna Kurz for review along with protocol. </w:t>
      </w:r>
    </w:p>
    <w:p w:rsidR="00E34DF5" w:rsidRPr="007567A7" w:rsidRDefault="00E34DF5" w:rsidP="00437BFC">
      <w:pPr>
        <w:autoSpaceDE w:val="0"/>
        <w:autoSpaceDN w:val="0"/>
        <w:adjustRightInd w:val="0"/>
        <w:rPr>
          <w:color w:val="000000"/>
        </w:rPr>
      </w:pPr>
    </w:p>
    <w:p w:rsidR="00E34DF5" w:rsidRPr="001754DC" w:rsidRDefault="00E34DF5" w:rsidP="00437BFC">
      <w:pPr>
        <w:rPr>
          <w:rFonts w:ascii="Verdana" w:hAnsi="Verdana"/>
          <w:b/>
          <w:sz w:val="22"/>
          <w:szCs w:val="22"/>
        </w:rPr>
      </w:pPr>
      <w:r w:rsidRPr="001754DC">
        <w:rPr>
          <w:rFonts w:ascii="Verdana" w:hAnsi="Verdana"/>
          <w:b/>
          <w:sz w:val="22"/>
          <w:szCs w:val="22"/>
        </w:rPr>
        <w:t xml:space="preserve">At least two weeks prior to IRB submission, </w:t>
      </w:r>
      <w:r w:rsidR="00F25FCE">
        <w:rPr>
          <w:rFonts w:ascii="Verdana" w:hAnsi="Verdana"/>
          <w:b/>
          <w:sz w:val="22"/>
          <w:szCs w:val="22"/>
        </w:rPr>
        <w:t xml:space="preserve">Deanna will send </w:t>
      </w:r>
      <w:r w:rsidRPr="001754DC">
        <w:rPr>
          <w:rFonts w:ascii="Verdana" w:hAnsi="Verdana"/>
          <w:b/>
          <w:sz w:val="22"/>
          <w:szCs w:val="22"/>
        </w:rPr>
        <w:t>a complete</w:t>
      </w:r>
      <w:r w:rsidR="00F25FCE">
        <w:rPr>
          <w:rFonts w:ascii="Verdana" w:hAnsi="Verdana"/>
          <w:b/>
          <w:sz w:val="22"/>
          <w:szCs w:val="22"/>
        </w:rPr>
        <w:t>d</w:t>
      </w:r>
      <w:r w:rsidRPr="001754DC">
        <w:rPr>
          <w:rFonts w:ascii="Verdana" w:hAnsi="Verdana"/>
          <w:b/>
          <w:sz w:val="22"/>
          <w:szCs w:val="22"/>
        </w:rPr>
        <w:t xml:space="preserve"> budget to:</w:t>
      </w:r>
      <w:r w:rsidRPr="001754DC">
        <w:rPr>
          <w:rFonts w:ascii="Verdana" w:hAnsi="Verdana"/>
          <w:b/>
          <w:sz w:val="22"/>
          <w:szCs w:val="22"/>
        </w:rPr>
        <w:tab/>
      </w:r>
    </w:p>
    <w:p w:rsidR="00E34DF5" w:rsidRPr="001754DC" w:rsidRDefault="0079318A" w:rsidP="00437BFC">
      <w:pPr>
        <w:rPr>
          <w:rFonts w:ascii="Verdana" w:hAnsi="Verdana"/>
          <w:sz w:val="22"/>
          <w:szCs w:val="22"/>
        </w:rPr>
      </w:pPr>
      <w:r w:rsidRPr="0079318A">
        <w:rPr>
          <w:rFonts w:ascii="Verdana" w:hAnsi="Verdana"/>
          <w:bCs/>
          <w:sz w:val="22"/>
          <w:szCs w:val="22"/>
        </w:rPr>
        <w:t>Sharisse E. Sanders</w:t>
      </w:r>
      <w:r w:rsidR="00263926">
        <w:rPr>
          <w:rFonts w:ascii="Verdana" w:hAnsi="Verdana"/>
          <w:sz w:val="22"/>
          <w:szCs w:val="22"/>
        </w:rPr>
        <w:t xml:space="preserve">, </w:t>
      </w:r>
      <w:r w:rsidRPr="0079318A">
        <w:rPr>
          <w:rFonts w:ascii="Verdana" w:hAnsi="Verdana"/>
          <w:sz w:val="22"/>
          <w:szCs w:val="22"/>
        </w:rPr>
        <w:t>Sponsored Programs Administrator</w:t>
      </w:r>
    </w:p>
    <w:p w:rsidR="00E34DF5" w:rsidRPr="001754DC" w:rsidRDefault="00E34DF5" w:rsidP="00437BFC">
      <w:pPr>
        <w:rPr>
          <w:rFonts w:ascii="Verdana" w:hAnsi="Verdana"/>
          <w:sz w:val="22"/>
          <w:szCs w:val="22"/>
        </w:rPr>
      </w:pPr>
      <w:r w:rsidRPr="001754DC">
        <w:rPr>
          <w:rFonts w:ascii="Verdana" w:hAnsi="Verdana"/>
          <w:sz w:val="22"/>
          <w:szCs w:val="22"/>
        </w:rPr>
        <w:t xml:space="preserve">Ph:   </w:t>
      </w:r>
      <w:r w:rsidR="0079318A" w:rsidRPr="0079318A">
        <w:rPr>
          <w:rFonts w:ascii="Verdana" w:hAnsi="Verdana"/>
          <w:sz w:val="22"/>
          <w:szCs w:val="22"/>
        </w:rPr>
        <w:t>303-636-2923</w:t>
      </w:r>
    </w:p>
    <w:p w:rsidR="002857BB" w:rsidRPr="0079318A" w:rsidRDefault="0079318A" w:rsidP="0079318A">
      <w:pPr>
        <w:rPr>
          <w:b/>
          <w:u w:val="single"/>
        </w:rPr>
      </w:pPr>
      <w:r w:rsidRPr="0079318A">
        <w:rPr>
          <w:u w:val="single"/>
        </w:rPr>
        <w:t>Sharisse.E.Sanders@kp.org</w:t>
      </w:r>
      <w:bookmarkStart w:id="0" w:name="_GoBack"/>
      <w:bookmarkEnd w:id="0"/>
    </w:p>
    <w:p w:rsidR="00263926" w:rsidRDefault="00263926" w:rsidP="00263926">
      <w:pPr>
        <w:jc w:val="center"/>
        <w:rPr>
          <w:b/>
        </w:rPr>
      </w:pPr>
      <w:r>
        <w:rPr>
          <w:b/>
        </w:rPr>
        <w:lastRenderedPageBreak/>
        <w:t>PURPOSE</w:t>
      </w:r>
    </w:p>
    <w:p w:rsidR="00263926" w:rsidRDefault="00433D53" w:rsidP="00433D53">
      <w:pPr>
        <w:jc w:val="center"/>
        <w:rPr>
          <w:b/>
        </w:rPr>
      </w:pPr>
      <w:r>
        <w:rPr>
          <w:b/>
        </w:rPr>
        <w:t xml:space="preserve">Select one </w:t>
      </w:r>
      <w:proofErr w:type="spellStart"/>
      <w:r>
        <w:rPr>
          <w:b/>
        </w:rPr>
        <w:t>catagory</w:t>
      </w:r>
      <w:proofErr w:type="spellEnd"/>
    </w:p>
    <w:p w:rsidR="00263926" w:rsidRDefault="00263926" w:rsidP="00263926">
      <w:r w:rsidRPr="003C2463">
        <w:rPr>
          <w:b/>
        </w:rPr>
        <w:t>Career Development Awards</w:t>
      </w:r>
      <w:r>
        <w:t xml:space="preserve"> – Most often seen as K awards.  Other agencies and entities have similar type awards.  These awards are designed to promote the career development of specific individuals based on their past training and career stage.    The objective of these is to bring candidates/recipients to the point where they are able to conduct their research independently and are competitive for major grant support.  NIH, AHRQ, American Heart Association are all entities that have career development awards.</w:t>
      </w:r>
    </w:p>
    <w:p w:rsidR="00263926" w:rsidRDefault="00263926" w:rsidP="00263926"/>
    <w:p w:rsidR="00263926" w:rsidRDefault="00263926" w:rsidP="00263926">
      <w:r w:rsidRPr="003C2463">
        <w:rPr>
          <w:b/>
        </w:rPr>
        <w:t>Data Only Research</w:t>
      </w:r>
      <w:r>
        <w:t xml:space="preserve"> – Research that does not involve actual interaction with patients, rather the systematic review of data extracted from medical records or other systems, the statistical analysis, and related outcomes.</w:t>
      </w:r>
    </w:p>
    <w:p w:rsidR="00263926" w:rsidRDefault="00263926" w:rsidP="00263926"/>
    <w:p w:rsidR="00263926" w:rsidRDefault="00263926" w:rsidP="00263926">
      <w:r w:rsidRPr="003C2463">
        <w:rPr>
          <w:b/>
        </w:rPr>
        <w:t>Non-Research</w:t>
      </w:r>
      <w:r>
        <w:t xml:space="preserve"> – sponsored projects that are not considered research and/or don’t meet the definition of research.    Typically, the IRB has provided a determination letter validating this decision.</w:t>
      </w:r>
    </w:p>
    <w:p w:rsidR="00263926" w:rsidRDefault="00263926" w:rsidP="00263926"/>
    <w:p w:rsidR="00263926" w:rsidRDefault="00263926" w:rsidP="00263926">
      <w:r w:rsidRPr="003C2463">
        <w:rPr>
          <w:b/>
        </w:rPr>
        <w:t>Operational Non-Research</w:t>
      </w:r>
      <w:r>
        <w:t xml:space="preserve"> – These are projects that typically relate to quality improvement activities, analysis or assessment of a new operational initiative.   </w:t>
      </w:r>
    </w:p>
    <w:p w:rsidR="00433D53" w:rsidRDefault="00433D53" w:rsidP="00263926"/>
    <w:p w:rsidR="00433D53" w:rsidRDefault="00433D53" w:rsidP="00433D53">
      <w:r w:rsidRPr="00433D53">
        <w:rPr>
          <w:b/>
        </w:rPr>
        <w:t>Clinical Research</w:t>
      </w:r>
      <w:r>
        <w:t xml:space="preserve"> - is defined as research conducted on human subjects (or material of human origin such as tissues and specimens) where the investigator (colleagues or study staff) directly interacts with human subjects.  </w:t>
      </w:r>
    </w:p>
    <w:p w:rsidR="00433D53" w:rsidRDefault="00433D53" w:rsidP="00433D53"/>
    <w:p w:rsidR="00433D53" w:rsidRPr="003C2463" w:rsidRDefault="00433D53" w:rsidP="00433D53">
      <w:pPr>
        <w:rPr>
          <w:b/>
          <w:u w:val="single"/>
        </w:rPr>
      </w:pPr>
      <w:r w:rsidRPr="003C2463">
        <w:rPr>
          <w:b/>
          <w:u w:val="single"/>
        </w:rPr>
        <w:t>For O</w:t>
      </w:r>
      <w:r>
        <w:rPr>
          <w:b/>
          <w:u w:val="single"/>
        </w:rPr>
        <w:t>ne</w:t>
      </w:r>
      <w:r w:rsidRPr="003C2463">
        <w:rPr>
          <w:b/>
          <w:u w:val="single"/>
        </w:rPr>
        <w:t>L</w:t>
      </w:r>
      <w:r>
        <w:rPr>
          <w:b/>
          <w:u w:val="single"/>
        </w:rPr>
        <w:t>ink</w:t>
      </w:r>
      <w:r w:rsidRPr="003C2463">
        <w:rPr>
          <w:b/>
          <w:u w:val="single"/>
        </w:rPr>
        <w:t xml:space="preserve"> we break Clinical Research into 3 categories</w:t>
      </w:r>
    </w:p>
    <w:p w:rsidR="00433D53" w:rsidRDefault="00433D53" w:rsidP="00433D53">
      <w:pPr>
        <w:ind w:left="180"/>
      </w:pPr>
      <w:r w:rsidRPr="003C2463">
        <w:rPr>
          <w:b/>
        </w:rPr>
        <w:t>Clinical Research Other</w:t>
      </w:r>
      <w:r>
        <w:t xml:space="preserve"> – This would include all clinical research that does not fit into one of the other 2 categories.</w:t>
      </w:r>
    </w:p>
    <w:p w:rsidR="00433D53" w:rsidRDefault="00433D53" w:rsidP="00433D53">
      <w:pPr>
        <w:ind w:left="180"/>
      </w:pPr>
    </w:p>
    <w:p w:rsidR="00433D53" w:rsidRDefault="00433D53" w:rsidP="00433D53">
      <w:pPr>
        <w:ind w:left="180"/>
      </w:pPr>
      <w:r w:rsidRPr="003C2463">
        <w:rPr>
          <w:b/>
        </w:rPr>
        <w:t>Clinical Research Phase IV Clinical Trial</w:t>
      </w:r>
      <w:r>
        <w:t xml:space="preserve"> – These are often referred to as </w:t>
      </w:r>
      <w:proofErr w:type="spellStart"/>
      <w:r>
        <w:t>postmarketing</w:t>
      </w:r>
      <w:proofErr w:type="spellEnd"/>
      <w:r>
        <w:t xml:space="preserve"> studies and the primary goal is for </w:t>
      </w:r>
      <w:proofErr w:type="spellStart"/>
      <w:r>
        <w:t>postmarketing</w:t>
      </w:r>
      <w:proofErr w:type="spellEnd"/>
      <w:r>
        <w:t xml:space="preserve"> / safety surveillance (watching the drug’s use and long term effects in public) and ongoing technical support of a drug after it receives FDA approval to be sold.  Phase IV studies may be required by regulatory authorities or may be undertaken by the sponsoring company for competitive (finding a new market for the drug) or for other reasons</w:t>
      </w:r>
    </w:p>
    <w:p w:rsidR="00433D53" w:rsidRDefault="00433D53" w:rsidP="00433D53">
      <w:pPr>
        <w:ind w:left="180"/>
      </w:pPr>
    </w:p>
    <w:p w:rsidR="00433D53" w:rsidRDefault="00433D53" w:rsidP="00433D53">
      <w:pPr>
        <w:ind w:left="180"/>
      </w:pPr>
      <w:r w:rsidRPr="003C2463">
        <w:rPr>
          <w:b/>
        </w:rPr>
        <w:t xml:space="preserve">Clinical Research Clinical Trial </w:t>
      </w:r>
      <w:r>
        <w:t>– Clinical trials are defined as scientific studies that test the effectiveness of a treatment , device or drug that contribute to finding new and better ways of treating disease.  An example would be a trial that tests the effectiveness of blood pressure medication or whether a certain drug is effective in lowering cholesterol.  Typically clinical trials are multi-site and often originate from a pharmaceutical sponsor (although this is not always the case).</w:t>
      </w:r>
    </w:p>
    <w:p w:rsidR="00433D53" w:rsidRDefault="00433D53" w:rsidP="00263926"/>
    <w:p w:rsidR="00263926" w:rsidRDefault="00263926" w:rsidP="00263926">
      <w:r w:rsidRPr="003C2463">
        <w:rPr>
          <w:b/>
        </w:rPr>
        <w:t>Other Research</w:t>
      </w:r>
      <w:r>
        <w:t xml:space="preserve"> – A research project that does not fit into any of the other research categories.</w:t>
      </w:r>
    </w:p>
    <w:p w:rsidR="00263926" w:rsidRDefault="00263926" w:rsidP="00263926"/>
    <w:p w:rsidR="00263926" w:rsidRDefault="00263926" w:rsidP="00263926">
      <w:r w:rsidRPr="00E748A1">
        <w:rPr>
          <w:b/>
        </w:rPr>
        <w:t>Surveillance Non-Research</w:t>
      </w:r>
      <w:r>
        <w:t xml:space="preserve"> – Most of surveillance projects related to epidemiological or pharmacological surveillance. Epidemiological surveillance is generally related to the continued watchfulness over the distribution and trends of incidence through systematic collection, consolidation and evaluation of morbidity and mortality reports and other relevant data and the regular dissemination of data to all who need to know.  Pharmacological surveillance is the surveillance drug adverse events, interactions, effectiveness and other trends as related to FDA approved drugs.  Mini-Sentinel is an example of pharmacological surveillance.</w:t>
      </w:r>
    </w:p>
    <w:p w:rsidR="00263926" w:rsidRDefault="00263926" w:rsidP="00263926"/>
    <w:p w:rsidR="00263926" w:rsidRDefault="00263926" w:rsidP="00263926">
      <w:r w:rsidRPr="003C2463">
        <w:rPr>
          <w:b/>
        </w:rPr>
        <w:t xml:space="preserve">Training Activities </w:t>
      </w:r>
      <w:r>
        <w:t>– typically not research.  Sponsored projects that provide funds for training (this could be a variety of different training activities – bioterrorism training, research training, etc.</w:t>
      </w:r>
    </w:p>
    <w:p w:rsidR="00C179A6" w:rsidRDefault="00C179A6" w:rsidP="00263926"/>
    <w:p w:rsidR="00C179A6" w:rsidRDefault="00C179A6" w:rsidP="00263926"/>
    <w:p w:rsidR="00263926" w:rsidRDefault="00DF5265" w:rsidP="00263926">
      <w:r>
        <w:t xml:space="preserve">Select </w:t>
      </w:r>
      <w:r w:rsidRPr="00433D53">
        <w:rPr>
          <w:u w:val="single"/>
        </w:rPr>
        <w:t>at least one</w:t>
      </w:r>
      <w:r>
        <w:t xml:space="preserve"> Keyword from the following</w:t>
      </w:r>
      <w:r w:rsidR="00433D53">
        <w:t xml:space="preserve">: </w:t>
      </w:r>
    </w:p>
    <w:p w:rsidR="00433D53" w:rsidRDefault="00433D53" w:rsidP="00263926"/>
    <w:p w:rsidR="00433D53" w:rsidRDefault="00433D53" w:rsidP="00263926"/>
    <w:tbl>
      <w:tblPr>
        <w:tblStyle w:val="PlainTable4"/>
        <w:tblW w:w="0" w:type="auto"/>
        <w:tblLook w:val="04A0" w:firstRow="1" w:lastRow="0" w:firstColumn="1" w:lastColumn="0" w:noHBand="0" w:noVBand="1"/>
      </w:tblPr>
      <w:tblGrid>
        <w:gridCol w:w="3596"/>
        <w:gridCol w:w="3597"/>
        <w:gridCol w:w="3597"/>
      </w:tblGrid>
      <w:tr w:rsidR="00263926" w:rsidTr="00263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63926" w:rsidRDefault="00263926" w:rsidP="00263926"/>
        </w:tc>
        <w:tc>
          <w:tcPr>
            <w:tcW w:w="3597" w:type="dxa"/>
          </w:tcPr>
          <w:p w:rsidR="00263926" w:rsidRDefault="00263926" w:rsidP="00263926">
            <w:pPr>
              <w:cnfStyle w:val="100000000000" w:firstRow="1" w:lastRow="0" w:firstColumn="0" w:lastColumn="0" w:oddVBand="0" w:evenVBand="0" w:oddHBand="0" w:evenHBand="0" w:firstRowFirstColumn="0" w:firstRowLastColumn="0" w:lastRowFirstColumn="0" w:lastRowLastColumn="0"/>
            </w:pPr>
          </w:p>
        </w:tc>
        <w:tc>
          <w:tcPr>
            <w:tcW w:w="3597" w:type="dxa"/>
          </w:tcPr>
          <w:p w:rsidR="00263926" w:rsidRDefault="00263926" w:rsidP="00263926">
            <w:pPr>
              <w:cnfStyle w:val="100000000000" w:firstRow="1" w:lastRow="0" w:firstColumn="0" w:lastColumn="0" w:oddVBand="0" w:evenVBand="0" w:oddHBand="0" w:evenHBand="0" w:firstRowFirstColumn="0" w:firstRowLastColumn="0" w:lastRowFirstColumn="0" w:lastRowLastColumn="0"/>
            </w:pPr>
          </w:p>
        </w:tc>
      </w:tr>
    </w:tbl>
    <w:tbl>
      <w:tblPr>
        <w:tblW w:w="10446" w:type="dxa"/>
        <w:tblLook w:val="04A0" w:firstRow="1" w:lastRow="0" w:firstColumn="1" w:lastColumn="0" w:noHBand="0" w:noVBand="1"/>
      </w:tblPr>
      <w:tblGrid>
        <w:gridCol w:w="3690"/>
        <w:gridCol w:w="3600"/>
        <w:gridCol w:w="3156"/>
      </w:tblGrid>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A: TBD</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Epidemiology: Reproductive</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 xml:space="preserve">Neurologic: </w:t>
            </w:r>
            <w:proofErr w:type="spellStart"/>
            <w:r w:rsidRPr="00BE0328">
              <w:rPr>
                <w:rFonts w:ascii="Arial Narrow" w:hAnsi="Arial Narrow" w:cs="Times New Roman"/>
                <w:sz w:val="20"/>
                <w:szCs w:val="20"/>
              </w:rPr>
              <w:t>Parkinsons</w:t>
            </w:r>
            <w:proofErr w:type="spellEnd"/>
            <w:r w:rsidRPr="00BE0328">
              <w:rPr>
                <w:rFonts w:ascii="Arial Narrow" w:hAnsi="Arial Narrow" w:cs="Times New Roman"/>
                <w:sz w:val="20"/>
                <w:szCs w:val="20"/>
              </w:rPr>
              <w:t xml:space="preserve"> Disease</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Addiction/Chemical Dependency</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 xml:space="preserve">Female: </w:t>
            </w:r>
            <w:proofErr w:type="spellStart"/>
            <w:r w:rsidRPr="00BE0328">
              <w:rPr>
                <w:rFonts w:ascii="Arial Narrow" w:hAnsi="Arial Narrow" w:cs="Times New Roman"/>
                <w:sz w:val="20"/>
                <w:szCs w:val="20"/>
              </w:rPr>
              <w:t>Womens</w:t>
            </w:r>
            <w:proofErr w:type="spellEnd"/>
            <w:r w:rsidRPr="00BE0328">
              <w:rPr>
                <w:rFonts w:ascii="Arial Narrow" w:hAnsi="Arial Narrow" w:cs="Times New Roman"/>
                <w:sz w:val="20"/>
                <w:szCs w:val="20"/>
              </w:rPr>
              <w:t xml:space="preserve"> Health Care All</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Neurology: Alzheimer's Disease</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Aging: Epidemiology</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Female: Estrogen</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Nutrition: Body Size / Comp</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Aging: Gerontology</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Female: Hormone Replacement</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Nutrition: Children</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Asthma: Adult</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Female: Menopause</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Nutrition: Dietary Methods</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Asthma: All</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Female: Obstetrics-Gynecology</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Nutritional Epidemiology</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Asthma: Child</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Female: Premenstrual Symptoms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Nutrition: Food Allergies</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Traumatic Brain Injury</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Gastrointestinal Disorders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Nutrition: Maternal</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Cancer: Breast</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Genetics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Nutrition: Nutrient Intake</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Cancer: Cervical</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Gestational: Rx Exposure</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Obesity</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Cancer: Colorectal</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Behavior</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Organization, Delivery of Care</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Cancer: Liver</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Care: Access to</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Patient: Compliance</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Cancer: Prostate</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Care: Economics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Patient: Decision Making</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Cancer: Screening</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Care: Quality</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Doctor/Patient Relationship</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Cancers: Other</w:t>
            </w:r>
          </w:p>
        </w:tc>
        <w:tc>
          <w:tcPr>
            <w:tcW w:w="3600" w:type="dxa"/>
            <w:vAlign w:val="bottom"/>
          </w:tcPr>
          <w:p w:rsidR="00DF5265" w:rsidRPr="00BE0328" w:rsidRDefault="00DF5265" w:rsidP="00DF5265">
            <w:pPr>
              <w:rPr>
                <w:rFonts w:ascii="Arial Narrow" w:hAnsi="Arial Narrow" w:cs="Times New Roman"/>
                <w:color w:val="000000"/>
                <w:sz w:val="20"/>
                <w:szCs w:val="20"/>
              </w:rPr>
            </w:pPr>
            <w:r w:rsidRPr="00BE0328">
              <w:rPr>
                <w:rFonts w:ascii="Arial Narrow" w:hAnsi="Arial Narrow" w:cs="Times New Roman"/>
                <w:color w:val="000000"/>
                <w:sz w:val="20"/>
                <w:szCs w:val="20"/>
              </w:rPr>
              <w:t>Health Care Reform</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Patient: Outcomes</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Clinical Decision-Making</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Community partnerships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Patient: Rx Adherence</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Clinical Trials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Care: Delivery Err Qty</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Pediatrics</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Community &amp; Outreach Programs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 xml:space="preserve">Health Care: Delivery Err </w:t>
            </w:r>
            <w:proofErr w:type="spellStart"/>
            <w:r w:rsidRPr="00BE0328">
              <w:rPr>
                <w:rFonts w:ascii="Arial Narrow" w:hAnsi="Arial Narrow" w:cs="Times New Roman"/>
                <w:sz w:val="20"/>
                <w:szCs w:val="20"/>
              </w:rPr>
              <w:t>Redn</w:t>
            </w:r>
            <w:proofErr w:type="spellEnd"/>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Perinatal Med/Health Services</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color w:val="FF0000"/>
                <w:sz w:val="20"/>
                <w:szCs w:val="20"/>
              </w:rPr>
            </w:pPr>
            <w:r w:rsidRPr="00B51264">
              <w:rPr>
                <w:rFonts w:ascii="Arial Narrow" w:hAnsi="Arial Narrow" w:cs="Times New Roman"/>
                <w:sz w:val="20"/>
                <w:szCs w:val="20"/>
              </w:rPr>
              <w:t>Communication/Dissemination</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 xml:space="preserve">Health Care: Delivery Risk </w:t>
            </w:r>
            <w:proofErr w:type="spellStart"/>
            <w:r w:rsidRPr="00BE0328">
              <w:rPr>
                <w:rFonts w:ascii="Arial Narrow" w:hAnsi="Arial Narrow" w:cs="Times New Roman"/>
                <w:sz w:val="20"/>
                <w:szCs w:val="20"/>
              </w:rPr>
              <w:t>Adj</w:t>
            </w:r>
            <w:proofErr w:type="spellEnd"/>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 xml:space="preserve">Pharma: </w:t>
            </w:r>
            <w:proofErr w:type="spellStart"/>
            <w:r w:rsidRPr="00BE0328">
              <w:rPr>
                <w:rFonts w:ascii="Arial Narrow" w:hAnsi="Arial Narrow" w:cs="Times New Roman"/>
                <w:sz w:val="20"/>
                <w:szCs w:val="20"/>
              </w:rPr>
              <w:t>Pharmacoeconomics</w:t>
            </w:r>
            <w:proofErr w:type="spellEnd"/>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Complementary Alternate Med</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 xml:space="preserve">Health </w:t>
            </w:r>
            <w:proofErr w:type="spellStart"/>
            <w:r w:rsidRPr="00BE0328">
              <w:rPr>
                <w:rFonts w:ascii="Arial Narrow" w:hAnsi="Arial Narrow" w:cs="Times New Roman"/>
                <w:sz w:val="20"/>
                <w:szCs w:val="20"/>
              </w:rPr>
              <w:t>Care:Delivery</w:t>
            </w:r>
            <w:proofErr w:type="spellEnd"/>
            <w:r w:rsidRPr="00BE0328">
              <w:rPr>
                <w:rFonts w:ascii="Arial Narrow" w:hAnsi="Arial Narrow" w:cs="Times New Roman"/>
                <w:sz w:val="20"/>
                <w:szCs w:val="20"/>
              </w:rPr>
              <w:t xml:space="preserve"> Risk </w:t>
            </w:r>
            <w:proofErr w:type="spellStart"/>
            <w:r w:rsidRPr="00BE0328">
              <w:rPr>
                <w:rFonts w:ascii="Arial Narrow" w:hAnsi="Arial Narrow" w:cs="Times New Roman"/>
                <w:sz w:val="20"/>
                <w:szCs w:val="20"/>
              </w:rPr>
              <w:t>Mgmt</w:t>
            </w:r>
            <w:proofErr w:type="spellEnd"/>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Pharma: Pharmacoepidemiology</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Cost-Effectiveness Analysis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Disparities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Pharma: Pharmacogenetics</w:t>
            </w:r>
          </w:p>
        </w:tc>
      </w:tr>
      <w:tr w:rsidR="00DF5265" w:rsidRPr="00BE0328" w:rsidTr="00433D53">
        <w:trPr>
          <w:trHeight w:val="270"/>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Health Promotion Adult</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Education</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Physical: Activity/Exercise</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Arrhythmias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Inequities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Physical: Function</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Cardiovascular Disease</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Policy</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Physical: Performance</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Health Promotion Children</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Promotion in Community</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Pregnancy: Adverse Outcomes</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Ischemic Heart Disease</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Promotion peers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Pregnancy: Teen</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Congestive Heart Failure</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Promotion Schools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Prenatal: Care</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Other</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Promotion Clinics</w:t>
            </w:r>
          </w:p>
        </w:tc>
        <w:tc>
          <w:tcPr>
            <w:tcW w:w="3156" w:type="dxa"/>
            <w:vAlign w:val="bottom"/>
          </w:tcPr>
          <w:p w:rsidR="00DF5265" w:rsidRPr="00BE0328" w:rsidRDefault="00DF5265" w:rsidP="00DF5265">
            <w:pPr>
              <w:rPr>
                <w:rFonts w:ascii="Arial Narrow" w:hAnsi="Arial Narrow" w:cs="Times New Roman"/>
                <w:sz w:val="20"/>
                <w:szCs w:val="20"/>
              </w:rPr>
            </w:pPr>
            <w:proofErr w:type="spellStart"/>
            <w:r w:rsidRPr="00BE0328">
              <w:rPr>
                <w:rFonts w:ascii="Arial Narrow" w:hAnsi="Arial Narrow" w:cs="Times New Roman"/>
                <w:sz w:val="20"/>
                <w:szCs w:val="20"/>
              </w:rPr>
              <w:t>Prenatal:Exposures-Epidemiolog</w:t>
            </w:r>
            <w:proofErr w:type="spellEnd"/>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CVD: Stroke</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Care: Rehospitalization</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Prevention: Pregnancy</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Dermatology</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Health: Social Determinants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Prevention: Preventive Service</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Diabetes: Child/Pediatric</w:t>
            </w:r>
          </w:p>
        </w:tc>
        <w:tc>
          <w:tcPr>
            <w:tcW w:w="3600" w:type="dxa"/>
            <w:vAlign w:val="bottom"/>
          </w:tcPr>
          <w:p w:rsidR="00DF5265" w:rsidRPr="00BE0328" w:rsidRDefault="00DF5265" w:rsidP="00DF5265">
            <w:pPr>
              <w:rPr>
                <w:rFonts w:ascii="Arial Narrow" w:hAnsi="Arial Narrow" w:cs="Times New Roman"/>
                <w:color w:val="000000"/>
                <w:sz w:val="20"/>
                <w:szCs w:val="20"/>
              </w:rPr>
            </w:pPr>
            <w:r w:rsidRPr="00BE0328">
              <w:rPr>
                <w:rFonts w:ascii="Arial Narrow" w:hAnsi="Arial Narrow" w:cs="Times New Roman"/>
                <w:color w:val="000000"/>
                <w:sz w:val="20"/>
                <w:szCs w:val="20"/>
              </w:rPr>
              <w:t>Hypertension</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Primary Care Research</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Diabetes: Gestational</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Cost of Illness Studies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Program Evaluation</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Diabetes Mellitus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Informatics: All</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Psychosocial</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Disease: AIDS/HIV</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Informatics: Medical</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Pulmonology</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Disease: Hepatic</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Maternal: Lactation</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Racial Disparity in Healthcare</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Disease: Infectious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Maternal: Stress</w:t>
            </w:r>
          </w:p>
        </w:tc>
        <w:tc>
          <w:tcPr>
            <w:tcW w:w="3156" w:type="dxa"/>
            <w:vAlign w:val="bottom"/>
          </w:tcPr>
          <w:p w:rsidR="00DF5265" w:rsidRPr="00BE0328" w:rsidRDefault="00DF5265" w:rsidP="00DF5265">
            <w:pPr>
              <w:rPr>
                <w:rFonts w:ascii="Arial Narrow" w:hAnsi="Arial Narrow" w:cs="Times New Roman"/>
                <w:color w:val="000000"/>
                <w:sz w:val="20"/>
                <w:szCs w:val="20"/>
              </w:rPr>
            </w:pPr>
            <w:r w:rsidRPr="00BE0328">
              <w:rPr>
                <w:rFonts w:ascii="Arial Narrow" w:hAnsi="Arial Narrow" w:cs="Times New Roman"/>
                <w:color w:val="000000"/>
                <w:sz w:val="20"/>
                <w:szCs w:val="20"/>
              </w:rPr>
              <w:t>Research Infrastructure</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Disease: Osteoporosis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Maternal: Substance Abuse</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Rheumatology</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Disease: Sexually Transmitted</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Maternal: Tobacco Use</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Substance Abuse: All</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Immunologic Disorders</w:t>
            </w:r>
          </w:p>
        </w:tc>
        <w:tc>
          <w:tcPr>
            <w:tcW w:w="3600" w:type="dxa"/>
            <w:vAlign w:val="bottom"/>
          </w:tcPr>
          <w:p w:rsidR="00DF5265" w:rsidRPr="00BE0328" w:rsidRDefault="00DF5265" w:rsidP="00DF5265">
            <w:pPr>
              <w:rPr>
                <w:rFonts w:ascii="Arial Narrow" w:hAnsi="Arial Narrow" w:cs="Times New Roman"/>
                <w:color w:val="000000"/>
                <w:sz w:val="20"/>
                <w:szCs w:val="20"/>
              </w:rPr>
            </w:pPr>
            <w:r w:rsidRPr="00BE0328">
              <w:rPr>
                <w:rFonts w:ascii="Arial Narrow" w:hAnsi="Arial Narrow" w:cs="Times New Roman"/>
                <w:color w:val="000000"/>
                <w:sz w:val="20"/>
                <w:szCs w:val="20"/>
              </w:rPr>
              <w:t>Member Experience</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Substance Abuse: Tobacco</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Disorders: Neonatal Disorders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Mental Health: Access</w:t>
            </w:r>
          </w:p>
        </w:tc>
        <w:tc>
          <w:tcPr>
            <w:tcW w:w="3156" w:type="dxa"/>
            <w:vAlign w:val="bottom"/>
          </w:tcPr>
          <w:p w:rsidR="00DF5265" w:rsidRPr="00BE0328" w:rsidRDefault="00DF5265" w:rsidP="00DF5265">
            <w:pPr>
              <w:rPr>
                <w:rFonts w:ascii="Arial Narrow" w:hAnsi="Arial Narrow" w:cs="Times New Roman"/>
                <w:color w:val="000000"/>
                <w:sz w:val="20"/>
                <w:szCs w:val="20"/>
              </w:rPr>
            </w:pPr>
            <w:r w:rsidRPr="00BE0328">
              <w:rPr>
                <w:rFonts w:ascii="Arial Narrow" w:hAnsi="Arial Narrow" w:cs="Times New Roman"/>
                <w:color w:val="000000"/>
                <w:sz w:val="20"/>
                <w:szCs w:val="20"/>
              </w:rPr>
              <w:t>Surveillance</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Division of Research</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Mental Health: All</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Urology</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Emergency Health Services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Mental Health: Children</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Vaccines</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color w:val="000000"/>
                <w:sz w:val="20"/>
                <w:szCs w:val="20"/>
              </w:rPr>
            </w:pPr>
            <w:r w:rsidRPr="00BE0328">
              <w:rPr>
                <w:rFonts w:ascii="Arial Narrow" w:hAnsi="Arial Narrow" w:cs="Times New Roman"/>
                <w:color w:val="000000"/>
                <w:sz w:val="20"/>
                <w:szCs w:val="20"/>
              </w:rPr>
              <w:t>Emergency Preparedness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Mental Health: Depression</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Variations in Practice Pattern</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Endocrinology &amp; Metabolism</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Mental Health: Minorities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Violence: Domestic</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Environmental: Air Pollution</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Nephrology: All</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Violence: Prevention Adults</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Environmental: Chemicals</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Nephrology: Kidney stones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Violence: Prevention Youth</w:t>
            </w:r>
          </w:p>
        </w:tc>
      </w:tr>
      <w:tr w:rsidR="00DF5265" w:rsidRPr="00BE0328" w:rsidTr="00433D53">
        <w:trPr>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proofErr w:type="spellStart"/>
            <w:r w:rsidRPr="00BE0328">
              <w:rPr>
                <w:rFonts w:ascii="Arial Narrow" w:hAnsi="Arial Narrow" w:cs="Times New Roman"/>
                <w:sz w:val="20"/>
                <w:szCs w:val="20"/>
              </w:rPr>
              <w:t>Env</w:t>
            </w:r>
            <w:proofErr w:type="spellEnd"/>
            <w:r w:rsidRPr="00BE0328">
              <w:rPr>
                <w:rFonts w:ascii="Arial Narrow" w:hAnsi="Arial Narrow" w:cs="Times New Roman"/>
                <w:sz w:val="20"/>
                <w:szCs w:val="20"/>
              </w:rPr>
              <w:t>: Determinants of Health</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Neurologic: ALS</w:t>
            </w:r>
          </w:p>
        </w:tc>
        <w:tc>
          <w:tcPr>
            <w:tcW w:w="3156"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Violence: Youth</w:t>
            </w:r>
          </w:p>
        </w:tc>
      </w:tr>
      <w:tr w:rsidR="00DF5265" w:rsidRPr="00BE0328" w:rsidTr="00433D53">
        <w:trPr>
          <w:gridAfter w:val="1"/>
          <w:wAfter w:w="3156" w:type="dxa"/>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proofErr w:type="spellStart"/>
            <w:r w:rsidRPr="00BE0328">
              <w:rPr>
                <w:rFonts w:ascii="Arial Narrow" w:hAnsi="Arial Narrow" w:cs="Times New Roman"/>
                <w:sz w:val="20"/>
                <w:szCs w:val="20"/>
              </w:rPr>
              <w:t>Env</w:t>
            </w:r>
            <w:proofErr w:type="spellEnd"/>
            <w:r w:rsidRPr="00BE0328">
              <w:rPr>
                <w:rFonts w:ascii="Arial Narrow" w:hAnsi="Arial Narrow" w:cs="Times New Roman"/>
                <w:sz w:val="20"/>
                <w:szCs w:val="20"/>
              </w:rPr>
              <w:t>: Health/Epidemiology</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Neurologic: Epilepsy</w:t>
            </w:r>
          </w:p>
        </w:tc>
      </w:tr>
      <w:tr w:rsidR="00DF5265" w:rsidRPr="00BE0328" w:rsidTr="00433D53">
        <w:trPr>
          <w:gridAfter w:val="1"/>
          <w:wAfter w:w="3156" w:type="dxa"/>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Early Determinants of Chronic</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Neurologic: Migraine</w:t>
            </w:r>
          </w:p>
        </w:tc>
      </w:tr>
      <w:tr w:rsidR="00DF5265" w:rsidRPr="00BE0328" w:rsidTr="00433D53">
        <w:trPr>
          <w:gridAfter w:val="1"/>
          <w:wAfter w:w="3156" w:type="dxa"/>
          <w:trHeight w:val="255"/>
        </w:trPr>
        <w:tc>
          <w:tcPr>
            <w:tcW w:w="3690" w:type="dxa"/>
            <w:tcBorders>
              <w:top w:val="nil"/>
              <w:left w:val="nil"/>
              <w:bottom w:val="nil"/>
              <w:right w:val="nil"/>
            </w:tcBorders>
            <w:shd w:val="clear" w:color="auto" w:fill="auto"/>
            <w:noWrap/>
            <w:vAlign w:val="bottom"/>
            <w:hideMark/>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Epidemiology: General</w:t>
            </w:r>
          </w:p>
        </w:tc>
        <w:tc>
          <w:tcPr>
            <w:tcW w:w="3600" w:type="dxa"/>
            <w:vAlign w:val="bottom"/>
          </w:tcPr>
          <w:p w:rsidR="00DF5265" w:rsidRPr="00BE0328" w:rsidRDefault="00DF5265" w:rsidP="00DF5265">
            <w:pPr>
              <w:rPr>
                <w:rFonts w:ascii="Arial Narrow" w:hAnsi="Arial Narrow" w:cs="Times New Roman"/>
                <w:sz w:val="20"/>
                <w:szCs w:val="20"/>
              </w:rPr>
            </w:pPr>
            <w:r w:rsidRPr="00BE0328">
              <w:rPr>
                <w:rFonts w:ascii="Arial Narrow" w:hAnsi="Arial Narrow" w:cs="Times New Roman"/>
                <w:sz w:val="20"/>
                <w:szCs w:val="20"/>
              </w:rPr>
              <w:t>Neurologic: Other Disorders</w:t>
            </w:r>
          </w:p>
        </w:tc>
      </w:tr>
      <w:tr w:rsidR="00DF5265" w:rsidRPr="00BE0328" w:rsidTr="00433D53">
        <w:trPr>
          <w:gridAfter w:val="1"/>
          <w:wAfter w:w="3156" w:type="dxa"/>
          <w:trHeight w:val="255"/>
        </w:trPr>
        <w:tc>
          <w:tcPr>
            <w:tcW w:w="3690" w:type="dxa"/>
            <w:tcBorders>
              <w:top w:val="nil"/>
              <w:left w:val="nil"/>
              <w:bottom w:val="nil"/>
              <w:right w:val="nil"/>
            </w:tcBorders>
            <w:shd w:val="clear" w:color="auto" w:fill="auto"/>
            <w:noWrap/>
            <w:vAlign w:val="bottom"/>
          </w:tcPr>
          <w:p w:rsidR="00DF5265" w:rsidRPr="00BE0328" w:rsidRDefault="00DF5265" w:rsidP="00DF5265">
            <w:pPr>
              <w:rPr>
                <w:rFonts w:ascii="Arial Narrow" w:hAnsi="Arial Narrow" w:cs="Times New Roman"/>
                <w:sz w:val="20"/>
                <w:szCs w:val="20"/>
              </w:rPr>
            </w:pPr>
          </w:p>
        </w:tc>
        <w:tc>
          <w:tcPr>
            <w:tcW w:w="3600" w:type="dxa"/>
            <w:vAlign w:val="bottom"/>
          </w:tcPr>
          <w:p w:rsidR="00DF5265" w:rsidRPr="00BE0328" w:rsidRDefault="00DF5265" w:rsidP="00DF5265">
            <w:pPr>
              <w:rPr>
                <w:rFonts w:ascii="Arial Narrow" w:hAnsi="Arial Narrow" w:cs="Times New Roman"/>
                <w:sz w:val="20"/>
                <w:szCs w:val="20"/>
              </w:rPr>
            </w:pPr>
          </w:p>
        </w:tc>
      </w:tr>
    </w:tbl>
    <w:p w:rsidR="00263926" w:rsidRDefault="00263926" w:rsidP="00437BFC"/>
    <w:sectPr w:rsidR="00263926" w:rsidSect="00523B7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389C"/>
    <w:multiLevelType w:val="hybridMultilevel"/>
    <w:tmpl w:val="1D36F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7E6C"/>
    <w:multiLevelType w:val="hybridMultilevel"/>
    <w:tmpl w:val="04885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FC"/>
    <w:rsid w:val="00050DE0"/>
    <w:rsid w:val="0014461B"/>
    <w:rsid w:val="001674A9"/>
    <w:rsid w:val="001754DC"/>
    <w:rsid w:val="0019730D"/>
    <w:rsid w:val="001D2A02"/>
    <w:rsid w:val="001F401C"/>
    <w:rsid w:val="00263926"/>
    <w:rsid w:val="002655FB"/>
    <w:rsid w:val="00271C57"/>
    <w:rsid w:val="002857BB"/>
    <w:rsid w:val="00292D6A"/>
    <w:rsid w:val="003C4F5F"/>
    <w:rsid w:val="00433D53"/>
    <w:rsid w:val="00437BFC"/>
    <w:rsid w:val="004D1C63"/>
    <w:rsid w:val="004E0D3D"/>
    <w:rsid w:val="00523B72"/>
    <w:rsid w:val="005A359F"/>
    <w:rsid w:val="00642F15"/>
    <w:rsid w:val="00656B62"/>
    <w:rsid w:val="007567A7"/>
    <w:rsid w:val="0076211F"/>
    <w:rsid w:val="0079318A"/>
    <w:rsid w:val="007A05E3"/>
    <w:rsid w:val="007E0AB5"/>
    <w:rsid w:val="00811AEC"/>
    <w:rsid w:val="00856A79"/>
    <w:rsid w:val="008A0905"/>
    <w:rsid w:val="00C179A6"/>
    <w:rsid w:val="00C313D9"/>
    <w:rsid w:val="00D424A2"/>
    <w:rsid w:val="00DF5265"/>
    <w:rsid w:val="00E06CBD"/>
    <w:rsid w:val="00E34DF5"/>
    <w:rsid w:val="00EB59E8"/>
    <w:rsid w:val="00F25FCE"/>
    <w:rsid w:val="00F54D96"/>
    <w:rsid w:val="00F7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53F40B-C5AB-4E45-9D72-90FF20A3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FC"/>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01C"/>
    <w:pPr>
      <w:ind w:left="720"/>
      <w:contextualSpacing/>
    </w:pPr>
  </w:style>
  <w:style w:type="character" w:styleId="Hyperlink">
    <w:name w:val="Hyperlink"/>
    <w:basedOn w:val="DefaultParagraphFont"/>
    <w:uiPriority w:val="99"/>
    <w:unhideWhenUsed/>
    <w:rsid w:val="00263926"/>
    <w:rPr>
      <w:color w:val="0000FF" w:themeColor="hyperlink"/>
      <w:u w:val="single"/>
    </w:rPr>
  </w:style>
  <w:style w:type="table" w:styleId="TableGrid">
    <w:name w:val="Table Grid"/>
    <w:basedOn w:val="TableNormal"/>
    <w:locked/>
    <w:rsid w:val="0026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639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9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A6A-17DA-4794-9FEF-58F2B344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1204</Words>
  <Characters>7776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Budget Outline</vt:lpstr>
    </vt:vector>
  </TitlesOfParts>
  <Company>Kaiser Permanente</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Outline</dc:title>
  <dc:creator>Sarah Billups</dc:creator>
  <cp:lastModifiedBy>DEANNA L KURZ</cp:lastModifiedBy>
  <cp:revision>2</cp:revision>
  <dcterms:created xsi:type="dcterms:W3CDTF">2018-07-06T14:45:00Z</dcterms:created>
  <dcterms:modified xsi:type="dcterms:W3CDTF">2018-07-06T14:45:00Z</dcterms:modified>
</cp:coreProperties>
</file>